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CB7BD" w14:textId="77777777" w:rsidR="008B45B7" w:rsidRPr="009676EA" w:rsidRDefault="008B45B7" w:rsidP="0011715C">
      <w:pPr>
        <w:pStyle w:val="DOCNormal1"/>
        <w:ind w:right="990"/>
        <w:rPr>
          <w:rFonts w:asciiTheme="majorHAnsi" w:hAnsiTheme="majorHAnsi"/>
        </w:rPr>
      </w:pPr>
      <w:r w:rsidRPr="009676EA">
        <w:rPr>
          <w:rFonts w:asciiTheme="majorHAnsi" w:hAnsiTheme="majorHAnsi"/>
          <w:sz w:val="26"/>
        </w:rPr>
        <w:tab/>
      </w:r>
    </w:p>
    <w:p w14:paraId="7031B56F" w14:textId="77777777" w:rsidR="00822FCC" w:rsidRPr="009676EA" w:rsidRDefault="00822FCC" w:rsidP="00822FCC">
      <w:pPr>
        <w:tabs>
          <w:tab w:val="left" w:pos="7200"/>
        </w:tabs>
        <w:jc w:val="center"/>
        <w:rPr>
          <w:rFonts w:asciiTheme="majorHAnsi" w:hAnsiTheme="majorHAnsi"/>
          <w:b/>
          <w:sz w:val="28"/>
          <w:szCs w:val="28"/>
        </w:rPr>
      </w:pPr>
      <w:r w:rsidRPr="009676EA">
        <w:rPr>
          <w:rFonts w:asciiTheme="majorHAnsi" w:hAnsiTheme="majorHAnsi"/>
          <w:b/>
          <w:sz w:val="28"/>
          <w:szCs w:val="28"/>
        </w:rPr>
        <w:t>STUDENT LOAN SERVICING ANNUAL REPORT</w:t>
      </w:r>
    </w:p>
    <w:p w14:paraId="3E0A531E" w14:textId="77777777" w:rsidR="008B45B7" w:rsidRPr="009676EA" w:rsidRDefault="00822FCC" w:rsidP="00822FCC">
      <w:pPr>
        <w:tabs>
          <w:tab w:val="left" w:pos="7200"/>
        </w:tabs>
        <w:jc w:val="center"/>
        <w:rPr>
          <w:rFonts w:asciiTheme="majorHAnsi" w:hAnsiTheme="majorHAnsi"/>
          <w:b/>
          <w:sz w:val="28"/>
          <w:szCs w:val="28"/>
        </w:rPr>
      </w:pPr>
      <w:r w:rsidRPr="009676EA">
        <w:rPr>
          <w:rFonts w:asciiTheme="majorHAnsi" w:hAnsiTheme="majorHAnsi"/>
          <w:b/>
          <w:sz w:val="28"/>
          <w:szCs w:val="28"/>
        </w:rPr>
        <w:t>COVER LETTER</w:t>
      </w:r>
    </w:p>
    <w:p w14:paraId="2D23800A" w14:textId="77777777" w:rsidR="00EC1E80" w:rsidRPr="009676EA" w:rsidRDefault="00EC1E80" w:rsidP="000E2809">
      <w:pPr>
        <w:ind w:left="720" w:right="720"/>
        <w:rPr>
          <w:rFonts w:asciiTheme="majorHAnsi" w:hAnsiTheme="majorHAnsi"/>
          <w:b/>
          <w:sz w:val="28"/>
          <w:szCs w:val="28"/>
        </w:rPr>
        <w:sectPr w:rsidR="00EC1E80" w:rsidRPr="009676EA" w:rsidSect="0032571C">
          <w:headerReference w:type="default" r:id="rId10"/>
          <w:headerReference w:type="first" r:id="rId11"/>
          <w:footerReference w:type="first" r:id="rId12"/>
          <w:pgSz w:w="12240" w:h="15840" w:code="1"/>
          <w:pgMar w:top="2700" w:right="720" w:bottom="2070" w:left="720" w:header="720" w:footer="1296" w:gutter="0"/>
          <w:cols w:space="720"/>
          <w:titlePg/>
          <w:docGrid w:linePitch="360"/>
        </w:sectPr>
      </w:pPr>
    </w:p>
    <w:p w14:paraId="7A7EDBD5" w14:textId="53F163E3" w:rsidR="00CC3105" w:rsidRDefault="00CC3105" w:rsidP="00A85219">
      <w:pPr>
        <w:rPr>
          <w:rFonts w:asciiTheme="majorHAnsi" w:hAnsiTheme="majorHAnsi"/>
        </w:rPr>
      </w:pPr>
    </w:p>
    <w:p w14:paraId="77B760B5" w14:textId="77777777" w:rsidR="0032571C" w:rsidRPr="009676EA" w:rsidRDefault="0032571C" w:rsidP="00A85219">
      <w:pPr>
        <w:rPr>
          <w:rFonts w:asciiTheme="majorHAnsi" w:hAnsiTheme="majorHAnsi"/>
        </w:rPr>
      </w:pPr>
    </w:p>
    <w:p w14:paraId="6B580079" w14:textId="77777777" w:rsidR="00822FCC" w:rsidRPr="00577900" w:rsidRDefault="00822FCC" w:rsidP="00D6356C">
      <w:pPr>
        <w:jc w:val="center"/>
        <w:rPr>
          <w:rFonts w:asciiTheme="majorHAnsi" w:hAnsiTheme="majorHAnsi"/>
          <w:b/>
          <w:szCs w:val="24"/>
        </w:rPr>
      </w:pPr>
      <w:r w:rsidRPr="00577900">
        <w:rPr>
          <w:rFonts w:asciiTheme="majorHAnsi" w:hAnsiTheme="majorHAnsi"/>
          <w:b/>
          <w:szCs w:val="24"/>
        </w:rPr>
        <w:t>Background</w:t>
      </w:r>
    </w:p>
    <w:p w14:paraId="2FDC0A73" w14:textId="566EF055" w:rsidR="003C160D" w:rsidRPr="00577900" w:rsidRDefault="003C160D" w:rsidP="00822FCC">
      <w:pPr>
        <w:rPr>
          <w:rFonts w:asciiTheme="majorHAnsi" w:hAnsiTheme="majorHAnsi"/>
          <w:szCs w:val="24"/>
        </w:rPr>
      </w:pPr>
    </w:p>
    <w:p w14:paraId="4A6489A3" w14:textId="2E400AE0" w:rsidR="0011715C" w:rsidRDefault="0011715C" w:rsidP="0011715C">
      <w:pPr>
        <w:tabs>
          <w:tab w:val="left" w:pos="5040"/>
          <w:tab w:val="left" w:pos="10080"/>
        </w:tabs>
        <w:ind w:left="720" w:right="720"/>
        <w:rPr>
          <w:rFonts w:asciiTheme="majorHAnsi" w:hAnsiTheme="majorHAnsi"/>
          <w:szCs w:val="24"/>
        </w:rPr>
      </w:pPr>
      <w:bookmarkStart w:id="2" w:name="_Hlk522620090"/>
      <w:r>
        <w:rPr>
          <w:rFonts w:asciiTheme="majorHAnsi" w:hAnsiTheme="majorHAnsi"/>
          <w:szCs w:val="24"/>
        </w:rPr>
        <w:t xml:space="preserve">Per </w:t>
      </w:r>
      <w:r w:rsidRPr="0011715C">
        <w:rPr>
          <w:rFonts w:asciiTheme="majorHAnsi" w:hAnsiTheme="majorHAnsi"/>
          <w:szCs w:val="24"/>
        </w:rPr>
        <w:t>Financial Code section 28146(a) of the Stu</w:t>
      </w:r>
      <w:r>
        <w:rPr>
          <w:rFonts w:asciiTheme="majorHAnsi" w:hAnsiTheme="majorHAnsi"/>
          <w:szCs w:val="24"/>
        </w:rPr>
        <w:t>dent Loan Servicing Act</w:t>
      </w:r>
      <w:r w:rsidRPr="0011715C">
        <w:rPr>
          <w:rFonts w:asciiTheme="majorHAnsi" w:hAnsiTheme="majorHAnsi"/>
          <w:szCs w:val="24"/>
        </w:rPr>
        <w:t xml:space="preserve"> each student loan servicer</w:t>
      </w:r>
      <w:r>
        <w:rPr>
          <w:rFonts w:asciiTheme="majorHAnsi" w:hAnsiTheme="majorHAnsi"/>
          <w:szCs w:val="24"/>
        </w:rPr>
        <w:t xml:space="preserve"> is required to </w:t>
      </w:r>
      <w:r w:rsidRPr="0011715C">
        <w:rPr>
          <w:rFonts w:asciiTheme="majorHAnsi" w:hAnsiTheme="majorHAnsi"/>
          <w:szCs w:val="24"/>
        </w:rPr>
        <w:t xml:space="preserve">file an annual report with the commissioner, on or before the </w:t>
      </w:r>
      <w:r w:rsidRPr="0011715C">
        <w:rPr>
          <w:rFonts w:asciiTheme="majorHAnsi" w:hAnsiTheme="majorHAnsi"/>
          <w:b/>
          <w:szCs w:val="24"/>
        </w:rPr>
        <w:t>15th day of March</w:t>
      </w:r>
      <w:r>
        <w:rPr>
          <w:rFonts w:asciiTheme="majorHAnsi" w:hAnsiTheme="majorHAnsi"/>
          <w:szCs w:val="24"/>
        </w:rPr>
        <w:t>.</w:t>
      </w:r>
    </w:p>
    <w:p w14:paraId="56EDE124" w14:textId="77777777" w:rsidR="0011715C" w:rsidRDefault="0011715C" w:rsidP="0011715C">
      <w:pPr>
        <w:tabs>
          <w:tab w:val="left" w:pos="5040"/>
          <w:tab w:val="left" w:pos="10080"/>
        </w:tabs>
        <w:ind w:left="720"/>
        <w:rPr>
          <w:rFonts w:asciiTheme="majorHAnsi" w:hAnsiTheme="majorHAnsi"/>
          <w:szCs w:val="24"/>
        </w:rPr>
      </w:pPr>
    </w:p>
    <w:p w14:paraId="7245C16E" w14:textId="3058F098" w:rsidR="00D6356C" w:rsidRPr="0011715C" w:rsidRDefault="00D6356C" w:rsidP="00CE1770">
      <w:pPr>
        <w:tabs>
          <w:tab w:val="left" w:pos="5040"/>
          <w:tab w:val="left" w:pos="9900"/>
        </w:tabs>
        <w:ind w:left="900" w:right="900"/>
        <w:rPr>
          <w:rFonts w:asciiTheme="majorHAnsi" w:hAnsiTheme="majorHAnsi"/>
          <w:i/>
          <w:szCs w:val="24"/>
        </w:rPr>
      </w:pPr>
      <w:r w:rsidRPr="0011715C">
        <w:rPr>
          <w:rFonts w:asciiTheme="majorHAnsi" w:hAnsiTheme="majorHAnsi"/>
          <w:i/>
          <w:szCs w:val="24"/>
        </w:rPr>
        <w:t>Financia</w:t>
      </w:r>
      <w:r w:rsidR="0011715C" w:rsidRPr="0011715C">
        <w:rPr>
          <w:rFonts w:asciiTheme="majorHAnsi" w:hAnsiTheme="majorHAnsi"/>
          <w:i/>
          <w:szCs w:val="24"/>
        </w:rPr>
        <w:t xml:space="preserve">l Code section 28146(a) A licensee shall </w:t>
      </w:r>
      <w:r w:rsidRPr="0011715C">
        <w:rPr>
          <w:rFonts w:asciiTheme="majorHAnsi" w:hAnsiTheme="majorHAnsi"/>
          <w:i/>
          <w:szCs w:val="24"/>
        </w:rPr>
        <w:t>file an annual report with the commissioner, on or before the 15</w:t>
      </w:r>
      <w:r w:rsidRPr="0011715C">
        <w:rPr>
          <w:rFonts w:asciiTheme="majorHAnsi" w:hAnsiTheme="majorHAnsi"/>
          <w:i/>
          <w:szCs w:val="24"/>
          <w:vertAlign w:val="superscript"/>
        </w:rPr>
        <w:t>th</w:t>
      </w:r>
      <w:r w:rsidRPr="0011715C">
        <w:rPr>
          <w:rFonts w:asciiTheme="majorHAnsi" w:hAnsiTheme="majorHAnsi"/>
          <w:i/>
          <w:szCs w:val="24"/>
        </w:rPr>
        <w:t xml:space="preserve"> day of March, giving the relevant information that the commissioner reasonably requires concerning the business and operations conducted by the licensee in the state during the preceding calendar year, including information regarding the number of loans that are sold, assigned, or transferred to another party.  The individual annual reports filed pursuant to this section shall be made available to the public for inspection.  The report shall be made under oath and in the form</w:t>
      </w:r>
      <w:r w:rsidR="0011715C" w:rsidRPr="0011715C">
        <w:rPr>
          <w:rFonts w:asciiTheme="majorHAnsi" w:hAnsiTheme="majorHAnsi"/>
          <w:i/>
          <w:szCs w:val="24"/>
        </w:rPr>
        <w:t xml:space="preserve"> presented by the commissioner.</w:t>
      </w:r>
    </w:p>
    <w:p w14:paraId="102592DF" w14:textId="7906DAF2" w:rsidR="003C160D" w:rsidRPr="00577900" w:rsidRDefault="003C160D" w:rsidP="0011715C">
      <w:pPr>
        <w:tabs>
          <w:tab w:val="left" w:pos="5040"/>
          <w:tab w:val="left" w:pos="9900"/>
        </w:tabs>
        <w:ind w:left="900" w:right="720"/>
        <w:rPr>
          <w:rFonts w:asciiTheme="majorHAnsi" w:hAnsiTheme="majorHAnsi"/>
          <w:szCs w:val="24"/>
        </w:rPr>
      </w:pPr>
    </w:p>
    <w:bookmarkEnd w:id="2"/>
    <w:p w14:paraId="28F2F230" w14:textId="5849FBCB" w:rsidR="00AD4998" w:rsidRPr="00577900" w:rsidRDefault="00AD4998" w:rsidP="0011715C">
      <w:pPr>
        <w:tabs>
          <w:tab w:val="left" w:pos="10080"/>
        </w:tabs>
        <w:ind w:left="720" w:right="720"/>
        <w:jc w:val="center"/>
        <w:rPr>
          <w:rFonts w:asciiTheme="majorHAnsi" w:hAnsiTheme="majorHAnsi"/>
          <w:b/>
          <w:bCs/>
          <w:color w:val="000000"/>
          <w:szCs w:val="24"/>
        </w:rPr>
      </w:pPr>
      <w:r w:rsidRPr="00577900">
        <w:rPr>
          <w:rFonts w:asciiTheme="majorHAnsi" w:hAnsiTheme="majorHAnsi"/>
          <w:b/>
          <w:bCs/>
          <w:color w:val="000000"/>
          <w:szCs w:val="24"/>
        </w:rPr>
        <w:t>Instructions</w:t>
      </w:r>
    </w:p>
    <w:p w14:paraId="294D88BE" w14:textId="1E83AD61" w:rsidR="00AD4998" w:rsidRPr="00577900" w:rsidRDefault="00AD4998" w:rsidP="0011715C">
      <w:pPr>
        <w:tabs>
          <w:tab w:val="left" w:pos="10080"/>
        </w:tabs>
        <w:ind w:left="720" w:right="720"/>
        <w:jc w:val="center"/>
        <w:rPr>
          <w:rFonts w:asciiTheme="majorHAnsi" w:hAnsiTheme="majorHAnsi"/>
          <w:b/>
          <w:bCs/>
          <w:color w:val="000000"/>
          <w:szCs w:val="24"/>
        </w:rPr>
      </w:pPr>
    </w:p>
    <w:p w14:paraId="0FFF4672" w14:textId="5BCE4162" w:rsidR="005A72E4" w:rsidRDefault="004C33AB" w:rsidP="0011715C">
      <w:pPr>
        <w:tabs>
          <w:tab w:val="left" w:pos="5040"/>
          <w:tab w:val="left" w:pos="10080"/>
        </w:tabs>
        <w:ind w:left="720" w:right="720"/>
        <w:rPr>
          <w:rFonts w:asciiTheme="majorHAnsi" w:hAnsiTheme="majorHAnsi"/>
          <w:bCs/>
          <w:color w:val="000000"/>
          <w:szCs w:val="24"/>
        </w:rPr>
      </w:pPr>
      <w:r w:rsidRPr="00577900">
        <w:rPr>
          <w:rFonts w:asciiTheme="majorHAnsi" w:hAnsiTheme="majorHAnsi"/>
          <w:bCs/>
          <w:color w:val="000000"/>
          <w:szCs w:val="24"/>
        </w:rPr>
        <w:t>Annual Report forms will be delivered to the licensee through the Government Delivery email system at least 90 days</w:t>
      </w:r>
      <w:r w:rsidR="00C56547">
        <w:rPr>
          <w:rFonts w:asciiTheme="majorHAnsi" w:hAnsiTheme="majorHAnsi"/>
          <w:bCs/>
          <w:color w:val="000000"/>
          <w:szCs w:val="24"/>
        </w:rPr>
        <w:t xml:space="preserve"> prior to the due date</w:t>
      </w:r>
      <w:r w:rsidR="005A72E4">
        <w:rPr>
          <w:rFonts w:asciiTheme="majorHAnsi" w:hAnsiTheme="majorHAnsi"/>
          <w:bCs/>
          <w:color w:val="000000"/>
          <w:szCs w:val="24"/>
        </w:rPr>
        <w:t xml:space="preserve">. </w:t>
      </w:r>
      <w:r w:rsidR="006D02A9">
        <w:rPr>
          <w:rFonts w:asciiTheme="majorHAnsi" w:hAnsiTheme="majorHAnsi"/>
          <w:bCs/>
          <w:color w:val="000000"/>
          <w:szCs w:val="24"/>
        </w:rPr>
        <w:t>The</w:t>
      </w:r>
      <w:r w:rsidR="005A72E4">
        <w:rPr>
          <w:rFonts w:asciiTheme="majorHAnsi" w:hAnsiTheme="majorHAnsi"/>
          <w:bCs/>
          <w:color w:val="000000"/>
          <w:szCs w:val="24"/>
        </w:rPr>
        <w:t xml:space="preserve"> </w:t>
      </w:r>
      <w:r w:rsidR="006D02A9">
        <w:rPr>
          <w:rFonts w:asciiTheme="majorHAnsi" w:hAnsiTheme="majorHAnsi"/>
          <w:bCs/>
          <w:color w:val="000000"/>
          <w:szCs w:val="24"/>
        </w:rPr>
        <w:t>c</w:t>
      </w:r>
      <w:r w:rsidR="005A72E4">
        <w:rPr>
          <w:rFonts w:asciiTheme="majorHAnsi" w:hAnsiTheme="majorHAnsi"/>
          <w:bCs/>
          <w:color w:val="000000"/>
          <w:szCs w:val="24"/>
        </w:rPr>
        <w:t>ompleted form</w:t>
      </w:r>
      <w:r w:rsidR="006D02A9">
        <w:rPr>
          <w:rFonts w:asciiTheme="majorHAnsi" w:hAnsiTheme="majorHAnsi"/>
          <w:bCs/>
          <w:color w:val="000000"/>
          <w:szCs w:val="24"/>
        </w:rPr>
        <w:t xml:space="preserve"> must be return to the </w:t>
      </w:r>
      <w:proofErr w:type="spellStart"/>
      <w:r w:rsidR="006D02A9">
        <w:rPr>
          <w:rFonts w:asciiTheme="majorHAnsi" w:hAnsiTheme="majorHAnsi"/>
          <w:bCs/>
          <w:color w:val="000000"/>
          <w:szCs w:val="24"/>
        </w:rPr>
        <w:t>Deparment</w:t>
      </w:r>
      <w:proofErr w:type="spellEnd"/>
      <w:r w:rsidR="005A72E4">
        <w:rPr>
          <w:rFonts w:asciiTheme="majorHAnsi" w:hAnsiTheme="majorHAnsi"/>
          <w:bCs/>
          <w:color w:val="000000"/>
          <w:szCs w:val="24"/>
        </w:rPr>
        <w:t xml:space="preserve"> of Busin</w:t>
      </w:r>
      <w:r w:rsidR="006D02A9">
        <w:rPr>
          <w:rFonts w:asciiTheme="majorHAnsi" w:hAnsiTheme="majorHAnsi"/>
          <w:bCs/>
          <w:color w:val="000000"/>
          <w:szCs w:val="24"/>
        </w:rPr>
        <w:t>e</w:t>
      </w:r>
      <w:r w:rsidR="005A72E4">
        <w:rPr>
          <w:rFonts w:asciiTheme="majorHAnsi" w:hAnsiTheme="majorHAnsi"/>
          <w:bCs/>
          <w:color w:val="000000"/>
          <w:szCs w:val="24"/>
        </w:rPr>
        <w:t xml:space="preserve">ss Oversight by </w:t>
      </w:r>
      <w:r w:rsidRPr="00577900">
        <w:rPr>
          <w:rFonts w:asciiTheme="majorHAnsi" w:hAnsiTheme="majorHAnsi"/>
          <w:bCs/>
          <w:color w:val="000000"/>
          <w:szCs w:val="24"/>
        </w:rPr>
        <w:t>the March 15</w:t>
      </w:r>
      <w:r w:rsidRPr="00577900">
        <w:rPr>
          <w:rFonts w:asciiTheme="majorHAnsi" w:hAnsiTheme="majorHAnsi"/>
          <w:bCs/>
          <w:color w:val="000000"/>
          <w:szCs w:val="24"/>
          <w:vertAlign w:val="superscript"/>
        </w:rPr>
        <w:t>th</w:t>
      </w:r>
      <w:r w:rsidRPr="00577900">
        <w:rPr>
          <w:rFonts w:asciiTheme="majorHAnsi" w:hAnsiTheme="majorHAnsi"/>
          <w:bCs/>
          <w:color w:val="000000"/>
          <w:szCs w:val="24"/>
        </w:rPr>
        <w:t xml:space="preserve"> due date.</w:t>
      </w:r>
      <w:r w:rsidR="005A72E4">
        <w:rPr>
          <w:rFonts w:asciiTheme="majorHAnsi" w:hAnsiTheme="majorHAnsi"/>
          <w:bCs/>
          <w:color w:val="000000"/>
          <w:szCs w:val="24"/>
        </w:rPr>
        <w:t xml:space="preserve">   </w:t>
      </w:r>
      <w:r w:rsidR="0011715C">
        <w:rPr>
          <w:rFonts w:asciiTheme="majorHAnsi" w:hAnsiTheme="majorHAnsi"/>
          <w:szCs w:val="24"/>
        </w:rPr>
        <w:t>The C</w:t>
      </w:r>
      <w:r w:rsidR="0011715C" w:rsidRPr="00577900">
        <w:rPr>
          <w:rFonts w:asciiTheme="majorHAnsi" w:hAnsiTheme="majorHAnsi"/>
          <w:szCs w:val="24"/>
        </w:rPr>
        <w:t>ommissioner may impose a financial penalty if a licensee fails to submit a report on time.</w:t>
      </w:r>
      <w:r w:rsidR="0011715C">
        <w:rPr>
          <w:rFonts w:asciiTheme="majorHAnsi" w:hAnsiTheme="majorHAnsi"/>
          <w:szCs w:val="24"/>
        </w:rPr>
        <w:t xml:space="preserve">  </w:t>
      </w:r>
      <w:r w:rsidR="005A72E4" w:rsidRPr="00577900">
        <w:rPr>
          <w:rFonts w:asciiTheme="majorHAnsi" w:hAnsiTheme="majorHAnsi"/>
          <w:bCs/>
          <w:color w:val="000000"/>
          <w:szCs w:val="24"/>
        </w:rPr>
        <w:t>Reports shall be submitted electronically by email to DBO Student Loan Servicing (</w:t>
      </w:r>
      <w:hyperlink r:id="rId13" w:history="1">
        <w:r w:rsidR="005A72E4" w:rsidRPr="00577900">
          <w:rPr>
            <w:rStyle w:val="Hyperlink"/>
            <w:rFonts w:asciiTheme="majorHAnsi" w:hAnsiTheme="majorHAnsi"/>
            <w:bCs/>
            <w:szCs w:val="24"/>
          </w:rPr>
          <w:t>StudentLoanServicing@dbo.ca.gov</w:t>
        </w:r>
      </w:hyperlink>
      <w:r w:rsidR="005A72E4" w:rsidRPr="00577900">
        <w:rPr>
          <w:rFonts w:asciiTheme="majorHAnsi" w:hAnsiTheme="majorHAnsi"/>
          <w:bCs/>
          <w:color w:val="000000"/>
          <w:szCs w:val="24"/>
        </w:rPr>
        <w:t>).</w:t>
      </w:r>
      <w:r w:rsidR="005A72E4">
        <w:rPr>
          <w:rFonts w:asciiTheme="majorHAnsi" w:hAnsiTheme="majorHAnsi"/>
          <w:bCs/>
          <w:color w:val="000000"/>
          <w:szCs w:val="24"/>
        </w:rPr>
        <w:t xml:space="preserve">  </w:t>
      </w:r>
      <w:r w:rsidR="00C56547">
        <w:rPr>
          <w:rFonts w:asciiTheme="majorHAnsi" w:hAnsiTheme="majorHAnsi"/>
          <w:bCs/>
          <w:color w:val="000000"/>
          <w:szCs w:val="24"/>
        </w:rPr>
        <w:t xml:space="preserve">Email subject line should include </w:t>
      </w:r>
      <w:r w:rsidR="00C56547">
        <w:rPr>
          <w:rFonts w:asciiTheme="majorHAnsi" w:hAnsiTheme="majorHAnsi"/>
          <w:b/>
          <w:bCs/>
          <w:color w:val="000000"/>
          <w:szCs w:val="24"/>
        </w:rPr>
        <w:t>Company Name, NMLS # and the year</w:t>
      </w:r>
      <w:r w:rsidR="005A72E4" w:rsidRPr="005A72E4">
        <w:rPr>
          <w:rFonts w:asciiTheme="majorHAnsi" w:hAnsiTheme="majorHAnsi"/>
          <w:b/>
          <w:bCs/>
          <w:color w:val="000000"/>
          <w:szCs w:val="24"/>
        </w:rPr>
        <w:t>.</w:t>
      </w:r>
      <w:r w:rsidR="005A72E4" w:rsidRPr="005A72E4">
        <w:rPr>
          <w:rFonts w:asciiTheme="majorHAnsi" w:hAnsiTheme="majorHAnsi"/>
          <w:bCs/>
          <w:color w:val="000000"/>
          <w:szCs w:val="24"/>
        </w:rPr>
        <w:t xml:space="preserve">  </w:t>
      </w:r>
    </w:p>
    <w:p w14:paraId="22D7C2F7" w14:textId="77777777" w:rsidR="005A72E4" w:rsidRDefault="005A72E4" w:rsidP="0011715C">
      <w:pPr>
        <w:tabs>
          <w:tab w:val="left" w:pos="10080"/>
        </w:tabs>
        <w:ind w:left="720" w:right="720"/>
        <w:rPr>
          <w:rFonts w:asciiTheme="majorHAnsi" w:hAnsiTheme="majorHAnsi"/>
          <w:bCs/>
          <w:color w:val="000000"/>
          <w:szCs w:val="24"/>
        </w:rPr>
      </w:pPr>
    </w:p>
    <w:p w14:paraId="437372F5" w14:textId="77777777" w:rsidR="005A72E4" w:rsidRDefault="005A72E4" w:rsidP="0011715C">
      <w:pPr>
        <w:tabs>
          <w:tab w:val="left" w:pos="10080"/>
        </w:tabs>
        <w:ind w:left="720" w:right="720"/>
        <w:rPr>
          <w:rFonts w:asciiTheme="majorHAnsi" w:hAnsiTheme="majorHAnsi"/>
          <w:bCs/>
          <w:color w:val="000000"/>
          <w:szCs w:val="24"/>
        </w:rPr>
      </w:pPr>
    </w:p>
    <w:p w14:paraId="0741FED2" w14:textId="0C35EBBD" w:rsidR="008A373F" w:rsidRDefault="005A72E4" w:rsidP="0011715C">
      <w:pPr>
        <w:tabs>
          <w:tab w:val="left" w:pos="10080"/>
        </w:tabs>
        <w:ind w:left="720" w:right="720"/>
        <w:rPr>
          <w:rFonts w:asciiTheme="majorHAnsi" w:hAnsiTheme="majorHAnsi"/>
          <w:b/>
          <w:bCs/>
          <w:color w:val="000000"/>
          <w:szCs w:val="24"/>
        </w:rPr>
      </w:pPr>
      <w:r>
        <w:rPr>
          <w:rFonts w:asciiTheme="majorHAnsi" w:hAnsiTheme="majorHAnsi"/>
          <w:bCs/>
          <w:color w:val="000000"/>
          <w:szCs w:val="24"/>
        </w:rPr>
        <w:t>Portfolio and Borrower Loan I</w:t>
      </w:r>
      <w:r w:rsidRPr="00577900">
        <w:rPr>
          <w:rFonts w:asciiTheme="majorHAnsi" w:hAnsiTheme="majorHAnsi"/>
          <w:bCs/>
          <w:color w:val="000000"/>
          <w:szCs w:val="24"/>
        </w:rPr>
        <w:t>nformation should b</w:t>
      </w:r>
      <w:r w:rsidR="006D02A9">
        <w:rPr>
          <w:rFonts w:asciiTheme="majorHAnsi" w:hAnsiTheme="majorHAnsi"/>
          <w:bCs/>
          <w:color w:val="000000"/>
          <w:szCs w:val="24"/>
        </w:rPr>
        <w:t>e as of 12/31/2018</w:t>
      </w:r>
      <w:r>
        <w:rPr>
          <w:rFonts w:asciiTheme="majorHAnsi" w:hAnsiTheme="majorHAnsi"/>
          <w:bCs/>
          <w:color w:val="000000"/>
          <w:szCs w:val="24"/>
        </w:rPr>
        <w:t xml:space="preserve"> and Complaint I</w:t>
      </w:r>
      <w:r w:rsidR="006D02A9">
        <w:rPr>
          <w:rFonts w:asciiTheme="majorHAnsi" w:hAnsiTheme="majorHAnsi"/>
          <w:bCs/>
          <w:color w:val="000000"/>
          <w:szCs w:val="24"/>
        </w:rPr>
        <w:t>nformation shou</w:t>
      </w:r>
      <w:r w:rsidR="00057881">
        <w:rPr>
          <w:rFonts w:asciiTheme="majorHAnsi" w:hAnsiTheme="majorHAnsi"/>
          <w:bCs/>
          <w:color w:val="000000"/>
          <w:szCs w:val="24"/>
        </w:rPr>
        <w:t>ld be a twelve month aggregation</w:t>
      </w:r>
      <w:r w:rsidR="006D02A9">
        <w:rPr>
          <w:rFonts w:asciiTheme="majorHAnsi" w:hAnsiTheme="majorHAnsi"/>
          <w:bCs/>
          <w:color w:val="000000"/>
          <w:szCs w:val="24"/>
        </w:rPr>
        <w:t xml:space="preserve"> </w:t>
      </w:r>
      <w:proofErr w:type="gramStart"/>
      <w:r w:rsidR="006D02A9">
        <w:rPr>
          <w:rFonts w:asciiTheme="majorHAnsi" w:hAnsiTheme="majorHAnsi"/>
          <w:bCs/>
          <w:color w:val="000000"/>
          <w:szCs w:val="24"/>
        </w:rPr>
        <w:t xml:space="preserve">of </w:t>
      </w:r>
      <w:r>
        <w:rPr>
          <w:rFonts w:asciiTheme="majorHAnsi" w:hAnsiTheme="majorHAnsi"/>
          <w:bCs/>
          <w:color w:val="000000"/>
          <w:szCs w:val="24"/>
        </w:rPr>
        <w:t xml:space="preserve"> </w:t>
      </w:r>
      <w:r w:rsidR="006D02A9">
        <w:rPr>
          <w:rFonts w:asciiTheme="majorHAnsi" w:hAnsiTheme="majorHAnsi"/>
          <w:bCs/>
          <w:color w:val="000000"/>
          <w:szCs w:val="24"/>
        </w:rPr>
        <w:t>the</w:t>
      </w:r>
      <w:proofErr w:type="gramEnd"/>
      <w:r w:rsidR="006D02A9">
        <w:rPr>
          <w:rFonts w:asciiTheme="majorHAnsi" w:hAnsiTheme="majorHAnsi"/>
          <w:bCs/>
          <w:color w:val="000000"/>
          <w:szCs w:val="24"/>
        </w:rPr>
        <w:t xml:space="preserve"> 2018 </w:t>
      </w:r>
      <w:r>
        <w:rPr>
          <w:rFonts w:asciiTheme="majorHAnsi" w:hAnsiTheme="majorHAnsi"/>
          <w:bCs/>
          <w:color w:val="000000"/>
          <w:szCs w:val="24"/>
        </w:rPr>
        <w:t>calendar year</w:t>
      </w:r>
      <w:r w:rsidRPr="00577900">
        <w:rPr>
          <w:rFonts w:asciiTheme="majorHAnsi" w:hAnsiTheme="majorHAnsi"/>
          <w:bCs/>
          <w:color w:val="000000"/>
          <w:szCs w:val="24"/>
        </w:rPr>
        <w:t>.</w:t>
      </w:r>
      <w:r w:rsidRPr="005A72E4">
        <w:rPr>
          <w:rFonts w:asciiTheme="majorHAnsi" w:hAnsiTheme="majorHAnsi"/>
          <w:bCs/>
          <w:color w:val="000000"/>
          <w:szCs w:val="24"/>
        </w:rPr>
        <w:t xml:space="preserve"> Reports shall </w:t>
      </w:r>
      <w:r>
        <w:rPr>
          <w:rFonts w:asciiTheme="majorHAnsi" w:hAnsiTheme="majorHAnsi"/>
          <w:bCs/>
          <w:color w:val="000000"/>
          <w:szCs w:val="24"/>
        </w:rPr>
        <w:t>be signed</w:t>
      </w:r>
      <w:r w:rsidRPr="005A72E4">
        <w:rPr>
          <w:rFonts w:asciiTheme="majorHAnsi" w:hAnsiTheme="majorHAnsi"/>
          <w:bCs/>
          <w:color w:val="000000"/>
          <w:szCs w:val="24"/>
        </w:rPr>
        <w:t xml:space="preserve"> by an authorized representative of the </w:t>
      </w:r>
      <w:proofErr w:type="gramStart"/>
      <w:r w:rsidRPr="005A72E4">
        <w:rPr>
          <w:rFonts w:asciiTheme="majorHAnsi" w:hAnsiTheme="majorHAnsi"/>
          <w:bCs/>
          <w:color w:val="000000"/>
          <w:szCs w:val="24"/>
        </w:rPr>
        <w:t>licensee</w:t>
      </w:r>
      <w:r w:rsidR="0011715C">
        <w:rPr>
          <w:rFonts w:asciiTheme="majorHAnsi" w:hAnsiTheme="majorHAnsi"/>
          <w:bCs/>
          <w:color w:val="000000"/>
          <w:szCs w:val="24"/>
        </w:rPr>
        <w:t xml:space="preserve">  </w:t>
      </w:r>
      <w:r w:rsidR="00AD4998" w:rsidRPr="0011715C">
        <w:rPr>
          <w:rFonts w:asciiTheme="majorHAnsi" w:hAnsiTheme="majorHAnsi"/>
          <w:bCs/>
          <w:color w:val="000000"/>
          <w:szCs w:val="24"/>
        </w:rPr>
        <w:t>All</w:t>
      </w:r>
      <w:proofErr w:type="gramEnd"/>
      <w:r w:rsidR="00AD4998" w:rsidRPr="0011715C">
        <w:rPr>
          <w:rFonts w:asciiTheme="majorHAnsi" w:hAnsiTheme="majorHAnsi"/>
          <w:bCs/>
          <w:color w:val="000000"/>
          <w:szCs w:val="24"/>
        </w:rPr>
        <w:t xml:space="preserve"> fields must be filled in.</w:t>
      </w:r>
      <w:r w:rsidR="00AD4998" w:rsidRPr="00577900">
        <w:rPr>
          <w:rFonts w:asciiTheme="majorHAnsi" w:hAnsiTheme="majorHAnsi"/>
          <w:b/>
          <w:bCs/>
          <w:color w:val="000000"/>
          <w:szCs w:val="24"/>
        </w:rPr>
        <w:t xml:space="preserve">  If a category is not applicable, enter “0.”</w:t>
      </w:r>
    </w:p>
    <w:p w14:paraId="0986B4EC" w14:textId="0A88EDD7" w:rsidR="0032571C" w:rsidRDefault="0032571C">
      <w:pPr>
        <w:rPr>
          <w:rFonts w:asciiTheme="majorHAnsi" w:hAnsiTheme="majorHAnsi"/>
          <w:b/>
          <w:bCs/>
          <w:color w:val="000000"/>
          <w:szCs w:val="24"/>
        </w:rPr>
      </w:pPr>
      <w:r>
        <w:rPr>
          <w:rFonts w:asciiTheme="majorHAnsi" w:hAnsiTheme="majorHAnsi"/>
          <w:b/>
          <w:bCs/>
          <w:color w:val="000000"/>
          <w:szCs w:val="24"/>
        </w:rPr>
        <w:br w:type="page"/>
      </w:r>
    </w:p>
    <w:p w14:paraId="35AA31A9" w14:textId="78CED438" w:rsidR="005A72E4" w:rsidRDefault="00AD4998" w:rsidP="005A72E4">
      <w:pPr>
        <w:jc w:val="center"/>
        <w:rPr>
          <w:rFonts w:asciiTheme="majorHAnsi" w:hAnsiTheme="majorHAnsi"/>
          <w:bCs/>
          <w:color w:val="000000"/>
          <w:szCs w:val="24"/>
        </w:rPr>
      </w:pPr>
      <w:r w:rsidRPr="00577900">
        <w:rPr>
          <w:rFonts w:asciiTheme="majorHAnsi" w:hAnsiTheme="majorHAnsi"/>
          <w:b/>
          <w:szCs w:val="24"/>
        </w:rPr>
        <w:lastRenderedPageBreak/>
        <w:t>Definitions</w:t>
      </w:r>
    </w:p>
    <w:p w14:paraId="28430C0A" w14:textId="2111745F" w:rsidR="005A72E4" w:rsidRPr="005A72E4" w:rsidRDefault="005A72E4" w:rsidP="005A72E4">
      <w:pPr>
        <w:rPr>
          <w:rFonts w:asciiTheme="majorHAnsi" w:hAnsiTheme="majorHAnsi"/>
          <w:bCs/>
          <w:i/>
          <w:color w:val="000000"/>
          <w:sz w:val="20"/>
        </w:rPr>
      </w:pPr>
      <w:r w:rsidRPr="005A72E4">
        <w:rPr>
          <w:rFonts w:asciiTheme="majorHAnsi" w:hAnsiTheme="majorHAnsi"/>
          <w:bCs/>
          <w:i/>
          <w:color w:val="000000"/>
          <w:sz w:val="20"/>
        </w:rPr>
        <w:t>Borrower counts are based at the loan level.  As a result, a borrower may be counted multiple times across varying loan statuses.</w:t>
      </w:r>
    </w:p>
    <w:p w14:paraId="60998CB3" w14:textId="5D3FEF5E" w:rsidR="00CC3105" w:rsidRPr="00577900" w:rsidRDefault="00CC3105" w:rsidP="00AD4998">
      <w:pPr>
        <w:jc w:val="center"/>
        <w:rPr>
          <w:rFonts w:asciiTheme="majorHAnsi" w:hAnsiTheme="majorHAnsi"/>
          <w:b/>
          <w:szCs w:val="24"/>
        </w:rPr>
      </w:pPr>
    </w:p>
    <w:tbl>
      <w:tblPr>
        <w:tblW w:w="11384" w:type="dxa"/>
        <w:jc w:val="center"/>
        <w:tblLook w:val="04A0" w:firstRow="1" w:lastRow="0" w:firstColumn="1" w:lastColumn="0" w:noHBand="0" w:noVBand="1"/>
      </w:tblPr>
      <w:tblGrid>
        <w:gridCol w:w="2988"/>
        <w:gridCol w:w="8396"/>
      </w:tblGrid>
      <w:tr w:rsidR="00822FCC" w:rsidRPr="00577900" w14:paraId="4D93D62D" w14:textId="77777777" w:rsidTr="003C160D">
        <w:trPr>
          <w:trHeight w:val="300"/>
          <w:jc w:val="center"/>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5538" w14:textId="77777777" w:rsidR="00822FCC" w:rsidRPr="00577900" w:rsidRDefault="00822FCC" w:rsidP="00412888">
            <w:pPr>
              <w:jc w:val="center"/>
              <w:rPr>
                <w:rFonts w:asciiTheme="majorHAnsi" w:hAnsiTheme="majorHAnsi"/>
                <w:b/>
                <w:bCs/>
                <w:szCs w:val="24"/>
              </w:rPr>
            </w:pPr>
            <w:r w:rsidRPr="00577900">
              <w:rPr>
                <w:rFonts w:asciiTheme="majorHAnsi" w:hAnsiTheme="majorHAnsi"/>
                <w:b/>
                <w:bCs/>
                <w:szCs w:val="24"/>
              </w:rPr>
              <w:t>Field Name</w:t>
            </w:r>
          </w:p>
        </w:tc>
        <w:tc>
          <w:tcPr>
            <w:tcW w:w="8396" w:type="dxa"/>
            <w:tcBorders>
              <w:top w:val="single" w:sz="4" w:space="0" w:color="auto"/>
              <w:left w:val="nil"/>
              <w:bottom w:val="single" w:sz="4" w:space="0" w:color="auto"/>
              <w:right w:val="single" w:sz="4" w:space="0" w:color="auto"/>
            </w:tcBorders>
            <w:shd w:val="clear" w:color="auto" w:fill="auto"/>
            <w:noWrap/>
            <w:vAlign w:val="bottom"/>
            <w:hideMark/>
          </w:tcPr>
          <w:p w14:paraId="44BE24BA" w14:textId="4899558D" w:rsidR="00822FCC" w:rsidRPr="00577900" w:rsidRDefault="00822FCC" w:rsidP="00412888">
            <w:pPr>
              <w:jc w:val="center"/>
              <w:rPr>
                <w:rFonts w:asciiTheme="majorHAnsi" w:hAnsiTheme="majorHAnsi"/>
                <w:b/>
                <w:bCs/>
                <w:szCs w:val="24"/>
              </w:rPr>
            </w:pPr>
            <w:r w:rsidRPr="00577900">
              <w:rPr>
                <w:rFonts w:asciiTheme="majorHAnsi" w:hAnsiTheme="majorHAnsi"/>
                <w:b/>
                <w:bCs/>
                <w:szCs w:val="24"/>
              </w:rPr>
              <w:t>Definition</w:t>
            </w:r>
          </w:p>
        </w:tc>
      </w:tr>
      <w:tr w:rsidR="00822FCC" w:rsidRPr="00577900" w14:paraId="0DF5EE61" w14:textId="77777777" w:rsidTr="003C160D">
        <w:trPr>
          <w:trHeight w:val="300"/>
          <w:jc w:val="center"/>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3B8C57B0" w14:textId="77777777" w:rsidR="00822FCC" w:rsidRPr="00577900" w:rsidRDefault="00822FCC" w:rsidP="00412888">
            <w:pPr>
              <w:rPr>
                <w:rFonts w:asciiTheme="majorHAnsi" w:hAnsiTheme="majorHAnsi"/>
                <w:szCs w:val="24"/>
              </w:rPr>
            </w:pPr>
            <w:r w:rsidRPr="00577900">
              <w:rPr>
                <w:rFonts w:asciiTheme="majorHAnsi" w:hAnsiTheme="majorHAnsi"/>
                <w:szCs w:val="24"/>
              </w:rPr>
              <w:t>In California</w:t>
            </w:r>
          </w:p>
        </w:tc>
        <w:tc>
          <w:tcPr>
            <w:tcW w:w="8396" w:type="dxa"/>
            <w:tcBorders>
              <w:top w:val="nil"/>
              <w:left w:val="nil"/>
              <w:bottom w:val="single" w:sz="4" w:space="0" w:color="auto"/>
              <w:right w:val="single" w:sz="4" w:space="0" w:color="auto"/>
            </w:tcBorders>
            <w:shd w:val="clear" w:color="auto" w:fill="auto"/>
            <w:noWrap/>
            <w:vAlign w:val="bottom"/>
            <w:hideMark/>
          </w:tcPr>
          <w:p w14:paraId="120CBE87" w14:textId="2E88E752" w:rsidR="00822FCC" w:rsidRPr="00577900" w:rsidRDefault="00822FCC" w:rsidP="00412888">
            <w:pPr>
              <w:rPr>
                <w:rFonts w:asciiTheme="majorHAnsi" w:hAnsiTheme="majorHAnsi"/>
                <w:szCs w:val="24"/>
              </w:rPr>
            </w:pPr>
            <w:r w:rsidRPr="00577900">
              <w:rPr>
                <w:rFonts w:asciiTheme="majorHAnsi" w:hAnsiTheme="majorHAnsi"/>
                <w:szCs w:val="24"/>
              </w:rPr>
              <w:t xml:space="preserve">A borrower whose </w:t>
            </w:r>
            <w:r w:rsidR="00CE1770">
              <w:rPr>
                <w:rFonts w:asciiTheme="majorHAnsi" w:hAnsiTheme="majorHAnsi"/>
                <w:szCs w:val="24"/>
              </w:rPr>
              <w:t>primary</w:t>
            </w:r>
            <w:r w:rsidR="00CE1770" w:rsidRPr="00577900">
              <w:rPr>
                <w:rFonts w:asciiTheme="majorHAnsi" w:hAnsiTheme="majorHAnsi"/>
                <w:szCs w:val="24"/>
              </w:rPr>
              <w:t xml:space="preserve"> </w:t>
            </w:r>
            <w:r w:rsidRPr="00577900">
              <w:rPr>
                <w:rFonts w:asciiTheme="majorHAnsi" w:hAnsiTheme="majorHAnsi"/>
                <w:szCs w:val="24"/>
              </w:rPr>
              <w:t>address</w:t>
            </w:r>
            <w:r w:rsidR="00CE1770">
              <w:rPr>
                <w:rFonts w:asciiTheme="majorHAnsi" w:hAnsiTheme="majorHAnsi"/>
                <w:szCs w:val="24"/>
              </w:rPr>
              <w:t xml:space="preserve"> </w:t>
            </w:r>
            <w:r w:rsidRPr="00577900">
              <w:rPr>
                <w:rFonts w:asciiTheme="majorHAnsi" w:hAnsiTheme="majorHAnsi"/>
                <w:szCs w:val="24"/>
              </w:rPr>
              <w:t>used for their account is in California.</w:t>
            </w:r>
          </w:p>
        </w:tc>
      </w:tr>
      <w:tr w:rsidR="00822FCC" w:rsidRPr="00577900" w14:paraId="7A303991" w14:textId="77777777" w:rsidTr="003C160D">
        <w:trPr>
          <w:trHeight w:val="314"/>
          <w:jc w:val="center"/>
        </w:trPr>
        <w:tc>
          <w:tcPr>
            <w:tcW w:w="2988" w:type="dxa"/>
            <w:tcBorders>
              <w:top w:val="nil"/>
              <w:left w:val="single" w:sz="4" w:space="0" w:color="auto"/>
              <w:bottom w:val="single" w:sz="4" w:space="0" w:color="auto"/>
              <w:right w:val="single" w:sz="4" w:space="0" w:color="auto"/>
            </w:tcBorders>
            <w:shd w:val="clear" w:color="auto" w:fill="auto"/>
            <w:noWrap/>
            <w:hideMark/>
          </w:tcPr>
          <w:p w14:paraId="2EC6AE98" w14:textId="0E5CFDB7" w:rsidR="00822FCC" w:rsidRPr="00577900" w:rsidRDefault="00822FCC" w:rsidP="00412888">
            <w:pPr>
              <w:rPr>
                <w:rFonts w:asciiTheme="majorHAnsi" w:hAnsiTheme="majorHAnsi"/>
                <w:szCs w:val="24"/>
              </w:rPr>
            </w:pPr>
            <w:r w:rsidRPr="00577900">
              <w:rPr>
                <w:rFonts w:asciiTheme="majorHAnsi" w:hAnsiTheme="majorHAnsi"/>
                <w:szCs w:val="24"/>
              </w:rPr>
              <w:t>In School</w:t>
            </w:r>
            <w:r w:rsidR="001249B7">
              <w:rPr>
                <w:rFonts w:asciiTheme="majorHAnsi" w:hAnsiTheme="majorHAnsi"/>
                <w:szCs w:val="24"/>
              </w:rPr>
              <w:t xml:space="preserve"> *</w:t>
            </w:r>
          </w:p>
        </w:tc>
        <w:tc>
          <w:tcPr>
            <w:tcW w:w="8396" w:type="dxa"/>
            <w:tcBorders>
              <w:top w:val="nil"/>
              <w:left w:val="nil"/>
              <w:bottom w:val="single" w:sz="4" w:space="0" w:color="auto"/>
              <w:right w:val="single" w:sz="4" w:space="0" w:color="auto"/>
            </w:tcBorders>
            <w:shd w:val="clear" w:color="auto" w:fill="auto"/>
            <w:hideMark/>
          </w:tcPr>
          <w:p w14:paraId="1724CF45" w14:textId="77777777" w:rsidR="00822FCC" w:rsidRPr="00577900" w:rsidRDefault="00822FCC" w:rsidP="00412888">
            <w:pPr>
              <w:rPr>
                <w:rFonts w:asciiTheme="majorHAnsi" w:hAnsiTheme="majorHAnsi"/>
                <w:szCs w:val="24"/>
              </w:rPr>
            </w:pPr>
            <w:r w:rsidRPr="00577900">
              <w:rPr>
                <w:rFonts w:asciiTheme="majorHAnsi" w:hAnsiTheme="majorHAnsi"/>
                <w:szCs w:val="24"/>
              </w:rPr>
              <w:t>Includes loans that have never entered repayment as a result of the borrower's enrollment in school.</w:t>
            </w:r>
          </w:p>
        </w:tc>
      </w:tr>
      <w:tr w:rsidR="00822FCC" w:rsidRPr="00577900" w14:paraId="77FA4C70" w14:textId="77777777" w:rsidTr="003C160D">
        <w:trPr>
          <w:trHeight w:val="510"/>
          <w:jc w:val="center"/>
        </w:trPr>
        <w:tc>
          <w:tcPr>
            <w:tcW w:w="2988" w:type="dxa"/>
            <w:tcBorders>
              <w:top w:val="nil"/>
              <w:left w:val="single" w:sz="4" w:space="0" w:color="auto"/>
              <w:bottom w:val="single" w:sz="4" w:space="0" w:color="auto"/>
              <w:right w:val="single" w:sz="4" w:space="0" w:color="auto"/>
            </w:tcBorders>
            <w:shd w:val="clear" w:color="auto" w:fill="auto"/>
            <w:noWrap/>
            <w:hideMark/>
          </w:tcPr>
          <w:p w14:paraId="271D7606" w14:textId="37854BC8" w:rsidR="00822FCC" w:rsidRPr="00577900" w:rsidRDefault="00822FCC" w:rsidP="00412888">
            <w:pPr>
              <w:rPr>
                <w:rFonts w:asciiTheme="majorHAnsi" w:hAnsiTheme="majorHAnsi"/>
                <w:szCs w:val="24"/>
              </w:rPr>
            </w:pPr>
            <w:r w:rsidRPr="00577900">
              <w:rPr>
                <w:rFonts w:asciiTheme="majorHAnsi" w:hAnsiTheme="majorHAnsi"/>
                <w:szCs w:val="24"/>
              </w:rPr>
              <w:t>Grace</w:t>
            </w:r>
            <w:r w:rsidR="00D6356C" w:rsidRPr="00577900">
              <w:rPr>
                <w:rFonts w:asciiTheme="majorHAnsi" w:hAnsiTheme="majorHAnsi"/>
                <w:szCs w:val="24"/>
              </w:rPr>
              <w:t>*</w:t>
            </w:r>
          </w:p>
        </w:tc>
        <w:tc>
          <w:tcPr>
            <w:tcW w:w="8396" w:type="dxa"/>
            <w:tcBorders>
              <w:top w:val="nil"/>
              <w:left w:val="nil"/>
              <w:bottom w:val="single" w:sz="4" w:space="0" w:color="auto"/>
              <w:right w:val="single" w:sz="4" w:space="0" w:color="auto"/>
            </w:tcBorders>
            <w:shd w:val="clear" w:color="auto" w:fill="auto"/>
            <w:hideMark/>
          </w:tcPr>
          <w:p w14:paraId="304591E2" w14:textId="77777777" w:rsidR="00822FCC" w:rsidRPr="00577900" w:rsidRDefault="00822FCC" w:rsidP="00412888">
            <w:pPr>
              <w:rPr>
                <w:rFonts w:asciiTheme="majorHAnsi" w:hAnsiTheme="majorHAnsi"/>
                <w:szCs w:val="24"/>
              </w:rPr>
            </w:pPr>
            <w:r w:rsidRPr="00577900">
              <w:rPr>
                <w:rFonts w:asciiTheme="majorHAnsi" w:hAnsiTheme="majorHAnsi"/>
                <w:szCs w:val="24"/>
              </w:rPr>
              <w:t>Includes loans that have entered a six-month grace period after the borrower is no longer enrolled in school at least half-time. Borrowers are not expected to make payments during grace periods.</w:t>
            </w:r>
          </w:p>
        </w:tc>
      </w:tr>
      <w:tr w:rsidR="00822FCC" w:rsidRPr="00577900" w14:paraId="1518E9E0" w14:textId="77777777" w:rsidTr="003C160D">
        <w:trPr>
          <w:trHeight w:val="300"/>
          <w:jc w:val="center"/>
        </w:trPr>
        <w:tc>
          <w:tcPr>
            <w:tcW w:w="2988" w:type="dxa"/>
            <w:tcBorders>
              <w:top w:val="nil"/>
              <w:left w:val="single" w:sz="4" w:space="0" w:color="auto"/>
              <w:bottom w:val="single" w:sz="4" w:space="0" w:color="auto"/>
              <w:right w:val="single" w:sz="4" w:space="0" w:color="auto"/>
            </w:tcBorders>
            <w:shd w:val="clear" w:color="auto" w:fill="auto"/>
            <w:noWrap/>
            <w:hideMark/>
          </w:tcPr>
          <w:p w14:paraId="58534D83" w14:textId="77777777" w:rsidR="00822FCC" w:rsidRPr="00577900" w:rsidRDefault="00822FCC" w:rsidP="00412888">
            <w:pPr>
              <w:rPr>
                <w:rFonts w:asciiTheme="majorHAnsi" w:hAnsiTheme="majorHAnsi"/>
                <w:szCs w:val="24"/>
              </w:rPr>
            </w:pPr>
            <w:r w:rsidRPr="00577900">
              <w:rPr>
                <w:rFonts w:asciiTheme="majorHAnsi" w:hAnsiTheme="majorHAnsi"/>
                <w:szCs w:val="24"/>
              </w:rPr>
              <w:t>Regular Repayment</w:t>
            </w:r>
          </w:p>
        </w:tc>
        <w:tc>
          <w:tcPr>
            <w:tcW w:w="8396" w:type="dxa"/>
            <w:tcBorders>
              <w:top w:val="nil"/>
              <w:left w:val="nil"/>
              <w:bottom w:val="single" w:sz="4" w:space="0" w:color="auto"/>
              <w:right w:val="single" w:sz="4" w:space="0" w:color="auto"/>
            </w:tcBorders>
            <w:shd w:val="clear" w:color="auto" w:fill="auto"/>
            <w:hideMark/>
          </w:tcPr>
          <w:p w14:paraId="0ED178EE" w14:textId="77777777" w:rsidR="00822FCC" w:rsidRPr="00577900" w:rsidRDefault="00822FCC" w:rsidP="00412888">
            <w:pPr>
              <w:rPr>
                <w:rFonts w:asciiTheme="majorHAnsi" w:hAnsiTheme="majorHAnsi"/>
                <w:szCs w:val="24"/>
              </w:rPr>
            </w:pPr>
            <w:r w:rsidRPr="00577900">
              <w:rPr>
                <w:rFonts w:asciiTheme="majorHAnsi" w:hAnsiTheme="majorHAnsi"/>
                <w:szCs w:val="24"/>
              </w:rPr>
              <w:t>Includes loans that are in an active repayment status based on original terms of their agreement.</w:t>
            </w:r>
          </w:p>
        </w:tc>
      </w:tr>
      <w:tr w:rsidR="00822FCC" w:rsidRPr="00577900" w14:paraId="219F18A5" w14:textId="77777777" w:rsidTr="003C160D">
        <w:trPr>
          <w:trHeight w:val="300"/>
          <w:jc w:val="center"/>
        </w:trPr>
        <w:tc>
          <w:tcPr>
            <w:tcW w:w="2988" w:type="dxa"/>
            <w:tcBorders>
              <w:top w:val="nil"/>
              <w:left w:val="single" w:sz="4" w:space="0" w:color="auto"/>
              <w:bottom w:val="single" w:sz="4" w:space="0" w:color="auto"/>
              <w:right w:val="single" w:sz="4" w:space="0" w:color="auto"/>
            </w:tcBorders>
            <w:shd w:val="clear" w:color="auto" w:fill="auto"/>
            <w:noWrap/>
            <w:hideMark/>
          </w:tcPr>
          <w:p w14:paraId="77D0FEAD" w14:textId="648B500E" w:rsidR="00822FCC" w:rsidRPr="00577900" w:rsidRDefault="00822FCC" w:rsidP="00412888">
            <w:pPr>
              <w:rPr>
                <w:rFonts w:asciiTheme="majorHAnsi" w:hAnsiTheme="majorHAnsi"/>
                <w:szCs w:val="24"/>
              </w:rPr>
            </w:pPr>
            <w:r w:rsidRPr="00577900">
              <w:rPr>
                <w:rFonts w:asciiTheme="majorHAnsi" w:hAnsiTheme="majorHAnsi"/>
                <w:szCs w:val="24"/>
              </w:rPr>
              <w:t>Income Based Repayment</w:t>
            </w:r>
          </w:p>
        </w:tc>
        <w:tc>
          <w:tcPr>
            <w:tcW w:w="8396" w:type="dxa"/>
            <w:tcBorders>
              <w:top w:val="nil"/>
              <w:left w:val="nil"/>
              <w:bottom w:val="single" w:sz="4" w:space="0" w:color="auto"/>
              <w:right w:val="single" w:sz="4" w:space="0" w:color="auto"/>
            </w:tcBorders>
            <w:shd w:val="clear" w:color="auto" w:fill="auto"/>
            <w:hideMark/>
          </w:tcPr>
          <w:p w14:paraId="27C73DEB" w14:textId="77777777" w:rsidR="00822FCC" w:rsidRPr="00577900" w:rsidRDefault="00822FCC" w:rsidP="00412888">
            <w:pPr>
              <w:rPr>
                <w:rFonts w:asciiTheme="majorHAnsi" w:hAnsiTheme="majorHAnsi"/>
                <w:szCs w:val="24"/>
              </w:rPr>
            </w:pPr>
            <w:r w:rsidRPr="00577900">
              <w:rPr>
                <w:rFonts w:asciiTheme="majorHAnsi" w:hAnsiTheme="majorHAnsi"/>
                <w:szCs w:val="24"/>
              </w:rPr>
              <w:t>Includes loans with payments adjusted based on borrower income and family size.</w:t>
            </w:r>
          </w:p>
        </w:tc>
      </w:tr>
      <w:tr w:rsidR="00822FCC" w:rsidRPr="00577900" w14:paraId="20B933E5" w14:textId="77777777" w:rsidTr="003C160D">
        <w:trPr>
          <w:trHeight w:val="251"/>
          <w:jc w:val="center"/>
        </w:trPr>
        <w:tc>
          <w:tcPr>
            <w:tcW w:w="2988" w:type="dxa"/>
            <w:tcBorders>
              <w:top w:val="nil"/>
              <w:left w:val="single" w:sz="4" w:space="0" w:color="auto"/>
              <w:bottom w:val="single" w:sz="4" w:space="0" w:color="auto"/>
              <w:right w:val="single" w:sz="4" w:space="0" w:color="auto"/>
            </w:tcBorders>
            <w:shd w:val="clear" w:color="auto" w:fill="auto"/>
            <w:noWrap/>
          </w:tcPr>
          <w:p w14:paraId="6F813539" w14:textId="77777777" w:rsidR="00822FCC" w:rsidRPr="00577900" w:rsidRDefault="00822FCC" w:rsidP="00412888">
            <w:pPr>
              <w:rPr>
                <w:rFonts w:asciiTheme="majorHAnsi" w:hAnsiTheme="majorHAnsi"/>
                <w:szCs w:val="24"/>
              </w:rPr>
            </w:pPr>
            <w:r w:rsidRPr="00577900">
              <w:rPr>
                <w:rFonts w:asciiTheme="majorHAnsi" w:hAnsiTheme="majorHAnsi"/>
                <w:szCs w:val="24"/>
              </w:rPr>
              <w:t>Modified Terms</w:t>
            </w:r>
          </w:p>
        </w:tc>
        <w:tc>
          <w:tcPr>
            <w:tcW w:w="8396" w:type="dxa"/>
            <w:tcBorders>
              <w:top w:val="nil"/>
              <w:left w:val="nil"/>
              <w:bottom w:val="single" w:sz="4" w:space="0" w:color="auto"/>
              <w:right w:val="single" w:sz="4" w:space="0" w:color="auto"/>
            </w:tcBorders>
            <w:shd w:val="clear" w:color="auto" w:fill="auto"/>
          </w:tcPr>
          <w:p w14:paraId="4AE3D041" w14:textId="77777777" w:rsidR="00822FCC" w:rsidRPr="00577900" w:rsidRDefault="00822FCC" w:rsidP="00412888">
            <w:pPr>
              <w:rPr>
                <w:rFonts w:asciiTheme="majorHAnsi" w:hAnsiTheme="majorHAnsi"/>
                <w:color w:val="FF0000"/>
                <w:szCs w:val="24"/>
              </w:rPr>
            </w:pPr>
            <w:r w:rsidRPr="00577900">
              <w:rPr>
                <w:rFonts w:asciiTheme="majorHAnsi" w:hAnsiTheme="majorHAnsi"/>
                <w:szCs w:val="24"/>
              </w:rPr>
              <w:t>Should only be used for Private loans.</w:t>
            </w:r>
          </w:p>
        </w:tc>
      </w:tr>
      <w:tr w:rsidR="00822FCC" w:rsidRPr="00577900" w14:paraId="38B5A29A" w14:textId="77777777" w:rsidTr="003C160D">
        <w:trPr>
          <w:trHeight w:val="510"/>
          <w:jc w:val="center"/>
        </w:trPr>
        <w:tc>
          <w:tcPr>
            <w:tcW w:w="2988" w:type="dxa"/>
            <w:tcBorders>
              <w:top w:val="nil"/>
              <w:left w:val="single" w:sz="4" w:space="0" w:color="auto"/>
              <w:bottom w:val="single" w:sz="4" w:space="0" w:color="auto"/>
              <w:right w:val="single" w:sz="4" w:space="0" w:color="auto"/>
            </w:tcBorders>
            <w:shd w:val="clear" w:color="auto" w:fill="auto"/>
            <w:noWrap/>
            <w:hideMark/>
          </w:tcPr>
          <w:p w14:paraId="7C088957" w14:textId="0E9691D5" w:rsidR="00822FCC" w:rsidRPr="00577900" w:rsidRDefault="00822FCC" w:rsidP="00412888">
            <w:pPr>
              <w:rPr>
                <w:rFonts w:asciiTheme="majorHAnsi" w:hAnsiTheme="majorHAnsi"/>
                <w:szCs w:val="24"/>
              </w:rPr>
            </w:pPr>
            <w:r w:rsidRPr="00577900">
              <w:rPr>
                <w:rFonts w:asciiTheme="majorHAnsi" w:hAnsiTheme="majorHAnsi"/>
                <w:szCs w:val="24"/>
              </w:rPr>
              <w:t>Deferment</w:t>
            </w:r>
            <w:r w:rsidR="00D6356C" w:rsidRPr="00577900">
              <w:rPr>
                <w:rFonts w:asciiTheme="majorHAnsi" w:hAnsiTheme="majorHAnsi"/>
                <w:szCs w:val="24"/>
              </w:rPr>
              <w:t>*</w:t>
            </w:r>
          </w:p>
        </w:tc>
        <w:tc>
          <w:tcPr>
            <w:tcW w:w="8396" w:type="dxa"/>
            <w:tcBorders>
              <w:top w:val="nil"/>
              <w:left w:val="nil"/>
              <w:bottom w:val="single" w:sz="4" w:space="0" w:color="auto"/>
              <w:right w:val="single" w:sz="4" w:space="0" w:color="auto"/>
            </w:tcBorders>
            <w:shd w:val="clear" w:color="auto" w:fill="auto"/>
            <w:hideMark/>
          </w:tcPr>
          <w:p w14:paraId="6E89D4CD" w14:textId="77777777" w:rsidR="00822FCC" w:rsidRPr="00577900" w:rsidRDefault="00822FCC" w:rsidP="00412888">
            <w:pPr>
              <w:rPr>
                <w:rFonts w:asciiTheme="majorHAnsi" w:hAnsiTheme="majorHAnsi"/>
                <w:szCs w:val="24"/>
              </w:rPr>
            </w:pPr>
            <w:r w:rsidRPr="00577900">
              <w:rPr>
                <w:rFonts w:asciiTheme="majorHAnsi" w:hAnsiTheme="majorHAnsi"/>
                <w:szCs w:val="24"/>
              </w:rPr>
              <w:t>Includes loans in which payments have been postponed as a result of certain circumstances such as returning to school, military service, or economic hardship.</w:t>
            </w:r>
          </w:p>
        </w:tc>
      </w:tr>
      <w:tr w:rsidR="00822FCC" w:rsidRPr="00577900" w14:paraId="7E41764E" w14:textId="77777777" w:rsidTr="003C160D">
        <w:trPr>
          <w:trHeight w:val="510"/>
          <w:jc w:val="center"/>
        </w:trPr>
        <w:tc>
          <w:tcPr>
            <w:tcW w:w="2988" w:type="dxa"/>
            <w:tcBorders>
              <w:top w:val="nil"/>
              <w:left w:val="single" w:sz="4" w:space="0" w:color="auto"/>
              <w:bottom w:val="single" w:sz="4" w:space="0" w:color="auto"/>
              <w:right w:val="single" w:sz="4" w:space="0" w:color="auto"/>
            </w:tcBorders>
            <w:shd w:val="clear" w:color="auto" w:fill="auto"/>
            <w:noWrap/>
            <w:hideMark/>
          </w:tcPr>
          <w:p w14:paraId="2B2BB79A" w14:textId="416540B1" w:rsidR="00822FCC" w:rsidRPr="00577900" w:rsidRDefault="00822FCC" w:rsidP="00412888">
            <w:pPr>
              <w:rPr>
                <w:rFonts w:asciiTheme="majorHAnsi" w:hAnsiTheme="majorHAnsi"/>
                <w:szCs w:val="24"/>
              </w:rPr>
            </w:pPr>
            <w:r w:rsidRPr="00577900">
              <w:rPr>
                <w:rFonts w:asciiTheme="majorHAnsi" w:hAnsiTheme="majorHAnsi"/>
                <w:szCs w:val="24"/>
              </w:rPr>
              <w:t>Forbearance</w:t>
            </w:r>
            <w:r w:rsidR="00D6356C" w:rsidRPr="00577900">
              <w:rPr>
                <w:rFonts w:asciiTheme="majorHAnsi" w:hAnsiTheme="majorHAnsi"/>
                <w:szCs w:val="24"/>
              </w:rPr>
              <w:t>*</w:t>
            </w:r>
          </w:p>
        </w:tc>
        <w:tc>
          <w:tcPr>
            <w:tcW w:w="8396" w:type="dxa"/>
            <w:tcBorders>
              <w:top w:val="nil"/>
              <w:left w:val="nil"/>
              <w:bottom w:val="single" w:sz="4" w:space="0" w:color="auto"/>
              <w:right w:val="single" w:sz="4" w:space="0" w:color="auto"/>
            </w:tcBorders>
            <w:shd w:val="clear" w:color="auto" w:fill="auto"/>
            <w:hideMark/>
          </w:tcPr>
          <w:p w14:paraId="472F57A0" w14:textId="77777777" w:rsidR="00822FCC" w:rsidRPr="00577900" w:rsidRDefault="00822FCC" w:rsidP="00412888">
            <w:pPr>
              <w:rPr>
                <w:rFonts w:asciiTheme="majorHAnsi" w:hAnsiTheme="majorHAnsi"/>
                <w:szCs w:val="24"/>
              </w:rPr>
            </w:pPr>
            <w:r w:rsidRPr="00577900">
              <w:rPr>
                <w:rFonts w:asciiTheme="majorHAnsi" w:hAnsiTheme="majorHAnsi"/>
                <w:szCs w:val="24"/>
              </w:rPr>
              <w:t xml:space="preserve">Includes loans in which payments have been temporary suspended or reduced as a result of certain types of financial hardships. </w:t>
            </w:r>
          </w:p>
        </w:tc>
      </w:tr>
      <w:tr w:rsidR="00822FCC" w:rsidRPr="00577900" w14:paraId="38F1124C" w14:textId="77777777" w:rsidTr="003C160D">
        <w:trPr>
          <w:trHeight w:val="300"/>
          <w:jc w:val="center"/>
        </w:trPr>
        <w:tc>
          <w:tcPr>
            <w:tcW w:w="2988" w:type="dxa"/>
            <w:tcBorders>
              <w:top w:val="nil"/>
              <w:left w:val="single" w:sz="4" w:space="0" w:color="auto"/>
              <w:bottom w:val="single" w:sz="4" w:space="0" w:color="auto"/>
              <w:right w:val="single" w:sz="4" w:space="0" w:color="auto"/>
            </w:tcBorders>
            <w:shd w:val="clear" w:color="auto" w:fill="auto"/>
            <w:noWrap/>
            <w:hideMark/>
          </w:tcPr>
          <w:p w14:paraId="30647EBB" w14:textId="240A439D" w:rsidR="00822FCC" w:rsidRPr="00577900" w:rsidRDefault="00822FCC" w:rsidP="00412888">
            <w:pPr>
              <w:rPr>
                <w:rFonts w:asciiTheme="majorHAnsi" w:hAnsiTheme="majorHAnsi"/>
                <w:szCs w:val="24"/>
              </w:rPr>
            </w:pPr>
            <w:r w:rsidRPr="00577900">
              <w:rPr>
                <w:rFonts w:asciiTheme="majorHAnsi" w:hAnsiTheme="majorHAnsi"/>
                <w:szCs w:val="24"/>
              </w:rPr>
              <w:t>Default</w:t>
            </w:r>
          </w:p>
        </w:tc>
        <w:tc>
          <w:tcPr>
            <w:tcW w:w="8396" w:type="dxa"/>
            <w:tcBorders>
              <w:top w:val="nil"/>
              <w:left w:val="nil"/>
              <w:bottom w:val="single" w:sz="4" w:space="0" w:color="auto"/>
              <w:right w:val="single" w:sz="4" w:space="0" w:color="auto"/>
            </w:tcBorders>
            <w:shd w:val="clear" w:color="auto" w:fill="FFFFFF" w:themeFill="background1"/>
            <w:hideMark/>
          </w:tcPr>
          <w:p w14:paraId="1A5E9118" w14:textId="598DF767" w:rsidR="00822FCC" w:rsidRPr="00577900" w:rsidRDefault="00C33DD0" w:rsidP="00412888">
            <w:pPr>
              <w:rPr>
                <w:rFonts w:asciiTheme="majorHAnsi" w:hAnsiTheme="majorHAnsi"/>
                <w:szCs w:val="24"/>
              </w:rPr>
            </w:pPr>
            <w:r>
              <w:rPr>
                <w:rFonts w:asciiTheme="majorHAnsi" w:hAnsiTheme="majorHAnsi"/>
                <w:szCs w:val="24"/>
              </w:rPr>
              <w:t>Includes Federal</w:t>
            </w:r>
            <w:r w:rsidR="00822FCC" w:rsidRPr="00577900">
              <w:rPr>
                <w:rFonts w:asciiTheme="majorHAnsi" w:hAnsiTheme="majorHAnsi"/>
                <w:szCs w:val="24"/>
              </w:rPr>
              <w:t xml:space="preserve"> loans in which a payment has not be</w:t>
            </w:r>
            <w:r w:rsidR="00BE0954">
              <w:rPr>
                <w:rFonts w:asciiTheme="majorHAnsi" w:hAnsiTheme="majorHAnsi"/>
                <w:szCs w:val="24"/>
              </w:rPr>
              <w:t>en made in more than 270 days and Private L</w:t>
            </w:r>
            <w:r w:rsidR="00822FCC" w:rsidRPr="00577900">
              <w:rPr>
                <w:rFonts w:asciiTheme="majorHAnsi" w:hAnsiTheme="majorHAnsi"/>
                <w:szCs w:val="24"/>
              </w:rPr>
              <w:t>oans in which</w:t>
            </w:r>
            <w:r w:rsidR="0073059F">
              <w:rPr>
                <w:rFonts w:asciiTheme="majorHAnsi" w:hAnsiTheme="majorHAnsi"/>
                <w:szCs w:val="24"/>
              </w:rPr>
              <w:t xml:space="preserve"> a</w:t>
            </w:r>
            <w:r w:rsidR="00822FCC" w:rsidRPr="00577900">
              <w:rPr>
                <w:rFonts w:asciiTheme="majorHAnsi" w:hAnsiTheme="majorHAnsi"/>
                <w:szCs w:val="24"/>
              </w:rPr>
              <w:t xml:space="preserve"> payment has not been received in more than 120 days.</w:t>
            </w:r>
          </w:p>
        </w:tc>
      </w:tr>
      <w:tr w:rsidR="00822FCC" w:rsidRPr="00577900" w14:paraId="42A41D81" w14:textId="77777777" w:rsidTr="003C160D">
        <w:trPr>
          <w:trHeight w:val="300"/>
          <w:jc w:val="center"/>
        </w:trPr>
        <w:tc>
          <w:tcPr>
            <w:tcW w:w="2988" w:type="dxa"/>
            <w:tcBorders>
              <w:top w:val="nil"/>
              <w:left w:val="single" w:sz="4" w:space="0" w:color="auto"/>
              <w:bottom w:val="single" w:sz="4" w:space="0" w:color="auto"/>
              <w:right w:val="single" w:sz="4" w:space="0" w:color="auto"/>
            </w:tcBorders>
            <w:shd w:val="clear" w:color="auto" w:fill="auto"/>
            <w:noWrap/>
            <w:hideMark/>
          </w:tcPr>
          <w:p w14:paraId="1357B984" w14:textId="365902D6" w:rsidR="00822FCC" w:rsidRPr="00577900" w:rsidRDefault="00822FCC" w:rsidP="00412888">
            <w:pPr>
              <w:rPr>
                <w:rFonts w:asciiTheme="majorHAnsi" w:hAnsiTheme="majorHAnsi"/>
                <w:szCs w:val="24"/>
              </w:rPr>
            </w:pPr>
            <w:r w:rsidRPr="00577900">
              <w:rPr>
                <w:rFonts w:asciiTheme="majorHAnsi" w:hAnsiTheme="majorHAnsi"/>
                <w:szCs w:val="24"/>
              </w:rPr>
              <w:t>Other</w:t>
            </w:r>
            <w:r w:rsidR="00C33DD0">
              <w:rPr>
                <w:rFonts w:asciiTheme="majorHAnsi" w:hAnsiTheme="majorHAnsi"/>
                <w:szCs w:val="24"/>
              </w:rPr>
              <w:t>*</w:t>
            </w:r>
          </w:p>
        </w:tc>
        <w:tc>
          <w:tcPr>
            <w:tcW w:w="8396" w:type="dxa"/>
            <w:tcBorders>
              <w:top w:val="nil"/>
              <w:left w:val="nil"/>
              <w:bottom w:val="single" w:sz="4" w:space="0" w:color="auto"/>
              <w:right w:val="single" w:sz="4" w:space="0" w:color="auto"/>
            </w:tcBorders>
            <w:shd w:val="clear" w:color="auto" w:fill="auto"/>
            <w:vAlign w:val="center"/>
            <w:hideMark/>
          </w:tcPr>
          <w:p w14:paraId="2774B081" w14:textId="77777777" w:rsidR="00822FCC" w:rsidRPr="00577900" w:rsidRDefault="00822FCC" w:rsidP="00412888">
            <w:pPr>
              <w:rPr>
                <w:rFonts w:asciiTheme="majorHAnsi" w:hAnsiTheme="majorHAnsi"/>
                <w:szCs w:val="24"/>
              </w:rPr>
            </w:pPr>
            <w:r w:rsidRPr="00577900">
              <w:rPr>
                <w:rFonts w:asciiTheme="majorHAnsi" w:hAnsiTheme="majorHAnsi"/>
                <w:szCs w:val="24"/>
              </w:rPr>
              <w:t>Includes loans that are in non-defaulted bankruptcy and in a disability status.</w:t>
            </w:r>
          </w:p>
        </w:tc>
      </w:tr>
      <w:tr w:rsidR="00822FCC" w:rsidRPr="00577900" w14:paraId="64F571DF" w14:textId="77777777" w:rsidTr="003C160D">
        <w:trPr>
          <w:trHeight w:val="300"/>
          <w:jc w:val="center"/>
        </w:trPr>
        <w:tc>
          <w:tcPr>
            <w:tcW w:w="2988" w:type="dxa"/>
            <w:tcBorders>
              <w:top w:val="nil"/>
              <w:left w:val="single" w:sz="4" w:space="0" w:color="auto"/>
              <w:bottom w:val="single" w:sz="4" w:space="0" w:color="auto"/>
              <w:right w:val="single" w:sz="4" w:space="0" w:color="auto"/>
            </w:tcBorders>
            <w:shd w:val="clear" w:color="auto" w:fill="auto"/>
            <w:noWrap/>
            <w:hideMark/>
          </w:tcPr>
          <w:p w14:paraId="2D0CB322" w14:textId="4CF9ED09" w:rsidR="00822FCC" w:rsidRPr="00577900" w:rsidRDefault="00822FCC" w:rsidP="00412888">
            <w:pPr>
              <w:rPr>
                <w:rFonts w:asciiTheme="majorHAnsi" w:hAnsiTheme="majorHAnsi"/>
                <w:szCs w:val="24"/>
              </w:rPr>
            </w:pPr>
            <w:r w:rsidRPr="00577900">
              <w:rPr>
                <w:rFonts w:asciiTheme="majorHAnsi" w:hAnsiTheme="majorHAnsi"/>
                <w:szCs w:val="24"/>
              </w:rPr>
              <w:t>Dollars Outstanding</w:t>
            </w:r>
            <w:r w:rsidR="00C33DD0">
              <w:rPr>
                <w:rFonts w:asciiTheme="majorHAnsi" w:hAnsiTheme="majorHAnsi"/>
                <w:szCs w:val="24"/>
              </w:rPr>
              <w:t>*</w:t>
            </w:r>
          </w:p>
        </w:tc>
        <w:tc>
          <w:tcPr>
            <w:tcW w:w="8396" w:type="dxa"/>
            <w:tcBorders>
              <w:top w:val="nil"/>
              <w:left w:val="nil"/>
              <w:bottom w:val="single" w:sz="4" w:space="0" w:color="auto"/>
              <w:right w:val="single" w:sz="4" w:space="0" w:color="auto"/>
            </w:tcBorders>
            <w:shd w:val="clear" w:color="auto" w:fill="auto"/>
            <w:hideMark/>
          </w:tcPr>
          <w:p w14:paraId="5B40EDF3" w14:textId="77777777" w:rsidR="00822FCC" w:rsidRPr="00577900" w:rsidRDefault="00822FCC" w:rsidP="00412888">
            <w:pPr>
              <w:rPr>
                <w:rFonts w:asciiTheme="majorHAnsi" w:hAnsiTheme="majorHAnsi"/>
                <w:szCs w:val="24"/>
              </w:rPr>
            </w:pPr>
            <w:r w:rsidRPr="00577900">
              <w:rPr>
                <w:rFonts w:asciiTheme="majorHAnsi" w:hAnsiTheme="majorHAnsi"/>
                <w:szCs w:val="24"/>
              </w:rPr>
              <w:t>Includes the outstanding principal and interest balance of loans in the specified status.</w:t>
            </w:r>
          </w:p>
        </w:tc>
      </w:tr>
      <w:tr w:rsidR="00822FCC" w:rsidRPr="00577900" w14:paraId="3904455A" w14:textId="77777777" w:rsidTr="003C160D">
        <w:trPr>
          <w:trHeight w:val="510"/>
          <w:jc w:val="center"/>
        </w:trPr>
        <w:tc>
          <w:tcPr>
            <w:tcW w:w="2988" w:type="dxa"/>
            <w:tcBorders>
              <w:top w:val="nil"/>
              <w:left w:val="single" w:sz="4" w:space="0" w:color="auto"/>
              <w:bottom w:val="single" w:sz="4" w:space="0" w:color="auto"/>
              <w:right w:val="single" w:sz="4" w:space="0" w:color="auto"/>
            </w:tcBorders>
            <w:shd w:val="clear" w:color="auto" w:fill="auto"/>
            <w:noWrap/>
            <w:hideMark/>
          </w:tcPr>
          <w:p w14:paraId="371E55BF" w14:textId="77777777" w:rsidR="00822FCC" w:rsidRPr="00577900" w:rsidRDefault="00822FCC" w:rsidP="00412888">
            <w:pPr>
              <w:rPr>
                <w:rFonts w:asciiTheme="majorHAnsi" w:hAnsiTheme="majorHAnsi"/>
                <w:szCs w:val="24"/>
              </w:rPr>
            </w:pPr>
            <w:r w:rsidRPr="00577900">
              <w:rPr>
                <w:rFonts w:asciiTheme="majorHAnsi" w:hAnsiTheme="majorHAnsi"/>
                <w:szCs w:val="24"/>
              </w:rPr>
              <w:t>Borrower Relationship</w:t>
            </w:r>
          </w:p>
        </w:tc>
        <w:tc>
          <w:tcPr>
            <w:tcW w:w="8396" w:type="dxa"/>
            <w:tcBorders>
              <w:top w:val="nil"/>
              <w:left w:val="nil"/>
              <w:bottom w:val="single" w:sz="4" w:space="0" w:color="auto"/>
              <w:right w:val="single" w:sz="4" w:space="0" w:color="auto"/>
            </w:tcBorders>
            <w:shd w:val="clear" w:color="auto" w:fill="auto"/>
            <w:vAlign w:val="center"/>
            <w:hideMark/>
          </w:tcPr>
          <w:p w14:paraId="21CC6325" w14:textId="77777777" w:rsidR="00822FCC" w:rsidRPr="00577900" w:rsidRDefault="00822FCC" w:rsidP="00412888">
            <w:pPr>
              <w:rPr>
                <w:rFonts w:asciiTheme="majorHAnsi" w:hAnsiTheme="majorHAnsi"/>
                <w:szCs w:val="24"/>
              </w:rPr>
            </w:pPr>
            <w:r w:rsidRPr="00577900">
              <w:rPr>
                <w:rFonts w:asciiTheme="majorHAnsi" w:hAnsiTheme="majorHAnsi"/>
                <w:szCs w:val="24"/>
              </w:rPr>
              <w:t xml:space="preserve">Includes the number of borrowing relationships.  The relationship is the student that benefits from the student loan, and would include parent PLUS loans, where the recipient is the same student. </w:t>
            </w:r>
          </w:p>
        </w:tc>
      </w:tr>
    </w:tbl>
    <w:p w14:paraId="59ACFC15" w14:textId="0DE9DA78" w:rsidR="00172C98" w:rsidRPr="00C33DD0" w:rsidRDefault="00D6356C" w:rsidP="00A85219">
      <w:pPr>
        <w:rPr>
          <w:rFonts w:asciiTheme="majorHAnsi" w:hAnsiTheme="majorHAnsi"/>
          <w:sz w:val="20"/>
        </w:rPr>
      </w:pPr>
      <w:r w:rsidRPr="00C33DD0">
        <w:rPr>
          <w:rFonts w:asciiTheme="majorHAnsi" w:hAnsiTheme="majorHAnsi"/>
          <w:sz w:val="20"/>
        </w:rPr>
        <w:t xml:space="preserve">*Definitions </w:t>
      </w:r>
      <w:r w:rsidR="00AD4998" w:rsidRPr="00C33DD0">
        <w:rPr>
          <w:rFonts w:asciiTheme="majorHAnsi" w:hAnsiTheme="majorHAnsi"/>
          <w:sz w:val="20"/>
        </w:rPr>
        <w:t xml:space="preserve">referenced </w:t>
      </w:r>
      <w:r w:rsidRPr="00C33DD0">
        <w:rPr>
          <w:rFonts w:asciiTheme="majorHAnsi" w:hAnsiTheme="majorHAnsi"/>
          <w:sz w:val="20"/>
        </w:rPr>
        <w:t xml:space="preserve">from </w:t>
      </w:r>
      <w:proofErr w:type="spellStart"/>
      <w:r w:rsidR="00C33DD0" w:rsidRPr="00C33DD0">
        <w:rPr>
          <w:rFonts w:asciiTheme="majorHAnsi" w:hAnsiTheme="majorHAnsi"/>
          <w:sz w:val="20"/>
        </w:rPr>
        <w:t>Departemnt</w:t>
      </w:r>
      <w:proofErr w:type="spellEnd"/>
      <w:r w:rsidR="00C33DD0" w:rsidRPr="00C33DD0">
        <w:rPr>
          <w:rFonts w:asciiTheme="majorHAnsi" w:hAnsiTheme="majorHAnsi"/>
          <w:sz w:val="20"/>
        </w:rPr>
        <w:t xml:space="preserve"> of </w:t>
      </w:r>
      <w:proofErr w:type="spellStart"/>
      <w:r w:rsidR="00C33DD0" w:rsidRPr="00C33DD0">
        <w:rPr>
          <w:rFonts w:asciiTheme="majorHAnsi" w:hAnsiTheme="majorHAnsi"/>
          <w:sz w:val="20"/>
        </w:rPr>
        <w:t>Educaiton</w:t>
      </w:r>
      <w:proofErr w:type="spellEnd"/>
      <w:r w:rsidR="00C33DD0" w:rsidRPr="00C33DD0">
        <w:rPr>
          <w:rFonts w:asciiTheme="majorHAnsi" w:hAnsiTheme="majorHAnsi"/>
          <w:sz w:val="20"/>
        </w:rPr>
        <w:t>/</w:t>
      </w:r>
      <w:proofErr w:type="spellStart"/>
      <w:r w:rsidR="00C33DD0" w:rsidRPr="00C33DD0">
        <w:rPr>
          <w:rFonts w:asciiTheme="majorHAnsi" w:hAnsiTheme="majorHAnsi"/>
          <w:sz w:val="20"/>
        </w:rPr>
        <w:t>Nationa</w:t>
      </w:r>
      <w:proofErr w:type="spellEnd"/>
      <w:r w:rsidR="00C33DD0" w:rsidRPr="00C33DD0">
        <w:rPr>
          <w:rFonts w:asciiTheme="majorHAnsi" w:hAnsiTheme="majorHAnsi"/>
          <w:sz w:val="20"/>
        </w:rPr>
        <w:t xml:space="preserve"> </w:t>
      </w:r>
      <w:proofErr w:type="spellStart"/>
      <w:r w:rsidR="00C33DD0" w:rsidRPr="00C33DD0">
        <w:rPr>
          <w:rFonts w:asciiTheme="majorHAnsi" w:hAnsiTheme="majorHAnsi"/>
          <w:sz w:val="20"/>
        </w:rPr>
        <w:t>Studen</w:t>
      </w:r>
      <w:proofErr w:type="spellEnd"/>
      <w:r w:rsidR="00C33DD0" w:rsidRPr="00C33DD0">
        <w:rPr>
          <w:rFonts w:asciiTheme="majorHAnsi" w:hAnsiTheme="majorHAnsi"/>
          <w:sz w:val="20"/>
        </w:rPr>
        <w:t xml:space="preserve"> Loan Data/ </w:t>
      </w:r>
      <w:proofErr w:type="spellStart"/>
      <w:proofErr w:type="gramStart"/>
      <w:r w:rsidR="00C33DD0" w:rsidRPr="00C33DD0">
        <w:rPr>
          <w:rFonts w:asciiTheme="majorHAnsi" w:hAnsiTheme="majorHAnsi"/>
          <w:sz w:val="20"/>
        </w:rPr>
        <w:t>PortfoliobyLoanStatus</w:t>
      </w:r>
      <w:proofErr w:type="spellEnd"/>
      <w:r w:rsidR="00C33DD0">
        <w:rPr>
          <w:rFonts w:asciiTheme="majorHAnsi" w:hAnsiTheme="majorHAnsi"/>
          <w:sz w:val="20"/>
        </w:rPr>
        <w:t>;</w:t>
      </w:r>
      <w:r w:rsidR="00C33DD0" w:rsidRPr="00C33DD0">
        <w:rPr>
          <w:rFonts w:asciiTheme="majorHAnsi" w:hAnsiTheme="majorHAnsi"/>
          <w:sz w:val="20"/>
        </w:rPr>
        <w:t xml:space="preserve"> </w:t>
      </w:r>
      <w:r w:rsidR="00C33DD0">
        <w:rPr>
          <w:rFonts w:asciiTheme="majorHAnsi" w:hAnsiTheme="majorHAnsi"/>
          <w:sz w:val="20"/>
        </w:rPr>
        <w:t xml:space="preserve"> www.date.gov</w:t>
      </w:r>
      <w:proofErr w:type="gramEnd"/>
    </w:p>
    <w:p w14:paraId="5C4F8C5E" w14:textId="77777777" w:rsidR="00172C98" w:rsidRPr="00577900" w:rsidRDefault="00172C98" w:rsidP="00A85219">
      <w:pPr>
        <w:rPr>
          <w:rFonts w:asciiTheme="majorHAnsi" w:hAnsiTheme="majorHAnsi"/>
          <w:szCs w:val="24"/>
        </w:rPr>
      </w:pPr>
    </w:p>
    <w:p w14:paraId="72C8CAB6" w14:textId="77777777" w:rsidR="00172C98" w:rsidRPr="00577900" w:rsidRDefault="00172C98" w:rsidP="00A85219">
      <w:pPr>
        <w:rPr>
          <w:rFonts w:asciiTheme="majorHAnsi" w:hAnsiTheme="majorHAnsi"/>
          <w:szCs w:val="24"/>
        </w:rPr>
      </w:pPr>
    </w:p>
    <w:p w14:paraId="1C159CC8" w14:textId="77777777" w:rsidR="00172C98" w:rsidRPr="00577900" w:rsidRDefault="00172C98" w:rsidP="00A85219">
      <w:pPr>
        <w:rPr>
          <w:rFonts w:asciiTheme="majorHAnsi" w:hAnsiTheme="majorHAnsi"/>
          <w:szCs w:val="24"/>
        </w:rPr>
      </w:pPr>
    </w:p>
    <w:p w14:paraId="042C7775" w14:textId="77777777" w:rsidR="00172C98" w:rsidRPr="00577900" w:rsidRDefault="00172C98" w:rsidP="00A85219">
      <w:pPr>
        <w:rPr>
          <w:rFonts w:asciiTheme="majorHAnsi" w:hAnsiTheme="majorHAnsi"/>
          <w:szCs w:val="24"/>
        </w:rPr>
      </w:pPr>
    </w:p>
    <w:p w14:paraId="38EF6BF7" w14:textId="77777777" w:rsidR="00172C98" w:rsidRPr="00577900" w:rsidRDefault="00172C98" w:rsidP="00A85219">
      <w:pPr>
        <w:rPr>
          <w:rFonts w:asciiTheme="majorHAnsi" w:hAnsiTheme="majorHAnsi"/>
          <w:szCs w:val="24"/>
        </w:rPr>
      </w:pPr>
    </w:p>
    <w:p w14:paraId="540DBFDE" w14:textId="77777777" w:rsidR="00172C98" w:rsidRPr="00577900" w:rsidRDefault="00172C98" w:rsidP="00A85219">
      <w:pPr>
        <w:rPr>
          <w:rFonts w:asciiTheme="majorHAnsi" w:hAnsiTheme="majorHAnsi"/>
          <w:szCs w:val="24"/>
        </w:rPr>
      </w:pPr>
    </w:p>
    <w:p w14:paraId="2E867906" w14:textId="77777777" w:rsidR="00172C98" w:rsidRPr="00577900" w:rsidRDefault="00172C98" w:rsidP="00A85219">
      <w:pPr>
        <w:rPr>
          <w:rFonts w:asciiTheme="majorHAnsi" w:hAnsiTheme="majorHAnsi"/>
          <w:szCs w:val="24"/>
        </w:rPr>
      </w:pPr>
    </w:p>
    <w:p w14:paraId="77DD98B1" w14:textId="77777777" w:rsidR="00E06790" w:rsidRPr="00577900" w:rsidRDefault="00E06790" w:rsidP="00A85219">
      <w:pPr>
        <w:rPr>
          <w:rFonts w:asciiTheme="majorHAnsi" w:hAnsiTheme="majorHAnsi"/>
          <w:szCs w:val="24"/>
        </w:rPr>
      </w:pPr>
    </w:p>
    <w:p w14:paraId="0B37C361" w14:textId="77777777" w:rsidR="00E06790" w:rsidRPr="00577900" w:rsidRDefault="00E06790" w:rsidP="00A85219">
      <w:pPr>
        <w:rPr>
          <w:rFonts w:asciiTheme="majorHAnsi" w:hAnsiTheme="majorHAnsi"/>
          <w:szCs w:val="24"/>
        </w:rPr>
      </w:pPr>
    </w:p>
    <w:p w14:paraId="01CC1974" w14:textId="2261D40C" w:rsidR="00342D9E" w:rsidRPr="00577900" w:rsidRDefault="00342D9E" w:rsidP="00A85219">
      <w:pPr>
        <w:rPr>
          <w:rFonts w:asciiTheme="majorHAnsi" w:hAnsiTheme="majorHAnsi"/>
          <w:szCs w:val="24"/>
        </w:rPr>
      </w:pPr>
    </w:p>
    <w:p w14:paraId="0DF92BD2" w14:textId="77777777" w:rsidR="00342D9E" w:rsidRPr="00577900" w:rsidRDefault="00342D9E" w:rsidP="00A85219">
      <w:pPr>
        <w:rPr>
          <w:rFonts w:asciiTheme="majorHAnsi" w:hAnsiTheme="majorHAnsi"/>
          <w:szCs w:val="24"/>
        </w:rPr>
      </w:pPr>
    </w:p>
    <w:sectPr w:rsidR="00342D9E" w:rsidRPr="00577900" w:rsidSect="009676EA">
      <w:headerReference w:type="default" r:id="rId14"/>
      <w:footerReference w:type="default" r:id="rId15"/>
      <w:type w:val="continuous"/>
      <w:pgSz w:w="12240" w:h="15840" w:code="1"/>
      <w:pgMar w:top="720" w:right="720" w:bottom="720" w:left="720" w:header="720"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E61D" w14:textId="77777777" w:rsidR="00AB253F" w:rsidRDefault="00AB253F">
      <w:r>
        <w:separator/>
      </w:r>
    </w:p>
  </w:endnote>
  <w:endnote w:type="continuationSeparator" w:id="0">
    <w:p w14:paraId="3D17B35E" w14:textId="77777777" w:rsidR="00AB253F" w:rsidRDefault="00AB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Y="1"/>
      <w:tblOverlap w:val="never"/>
      <w:tblW w:w="4733" w:type="pct"/>
      <w:tblBorders>
        <w:top w:val="thickThinLargeGap" w:sz="4" w:space="0" w:color="auto"/>
      </w:tblBorders>
      <w:tblLook w:val="01E0" w:firstRow="1" w:lastRow="1" w:firstColumn="1" w:lastColumn="1" w:noHBand="0" w:noVBand="0"/>
    </w:tblPr>
    <w:tblGrid>
      <w:gridCol w:w="3409"/>
      <w:gridCol w:w="3408"/>
      <w:gridCol w:w="3406"/>
    </w:tblGrid>
    <w:tr w:rsidR="00DA4904" w:rsidRPr="006F6213" w14:paraId="50F93D10" w14:textId="77777777" w:rsidTr="006F6213">
      <w:trPr>
        <w:trHeight w:val="845"/>
      </w:trPr>
      <w:tc>
        <w:tcPr>
          <w:tcW w:w="1667" w:type="pct"/>
          <w:tcBorders>
            <w:top w:val="thickThinLargeGap" w:sz="4" w:space="0" w:color="auto"/>
            <w:left w:val="nil"/>
            <w:bottom w:val="nil"/>
            <w:right w:val="nil"/>
          </w:tcBorders>
        </w:tcPr>
        <w:p w14:paraId="12499DFA" w14:textId="77777777" w:rsidR="00E06790" w:rsidRPr="006F6213" w:rsidRDefault="00E06790" w:rsidP="00DA4904">
          <w:pPr>
            <w:tabs>
              <w:tab w:val="right" w:pos="9360"/>
            </w:tabs>
            <w:ind w:left="-108" w:right="-108"/>
            <w:jc w:val="center"/>
            <w:rPr>
              <w:b/>
              <w:i/>
              <w:color w:val="595959"/>
              <w:sz w:val="16"/>
              <w:szCs w:val="16"/>
            </w:rPr>
          </w:pPr>
          <w:bookmarkStart w:id="1" w:name="_Hlk509925534"/>
        </w:p>
        <w:p w14:paraId="5F3C4B63" w14:textId="4BBF9F15" w:rsidR="00E06790" w:rsidRPr="006F6213" w:rsidRDefault="00E06790" w:rsidP="00DA4904">
          <w:pPr>
            <w:tabs>
              <w:tab w:val="right" w:pos="9360"/>
            </w:tabs>
            <w:ind w:left="-108" w:right="-108"/>
            <w:jc w:val="center"/>
            <w:rPr>
              <w:b/>
              <w:i/>
              <w:color w:val="595959"/>
              <w:sz w:val="16"/>
              <w:szCs w:val="16"/>
            </w:rPr>
          </w:pPr>
        </w:p>
      </w:tc>
      <w:tc>
        <w:tcPr>
          <w:tcW w:w="1667" w:type="pct"/>
          <w:tcBorders>
            <w:top w:val="thickThinLargeGap" w:sz="4" w:space="0" w:color="auto"/>
            <w:left w:val="nil"/>
            <w:bottom w:val="nil"/>
            <w:right w:val="nil"/>
          </w:tcBorders>
        </w:tcPr>
        <w:p w14:paraId="2724F2DA" w14:textId="77777777" w:rsidR="00E06790" w:rsidRPr="006F6213" w:rsidRDefault="00E06790" w:rsidP="00DA4904">
          <w:pPr>
            <w:tabs>
              <w:tab w:val="right" w:pos="9360"/>
            </w:tabs>
            <w:ind w:left="-108" w:right="-108"/>
            <w:jc w:val="center"/>
            <w:rPr>
              <w:b/>
              <w:i/>
              <w:color w:val="595959"/>
              <w:sz w:val="16"/>
              <w:szCs w:val="16"/>
            </w:rPr>
          </w:pPr>
        </w:p>
        <w:p w14:paraId="1146C219" w14:textId="77777777" w:rsidR="00F16F9C" w:rsidRPr="006F6213" w:rsidRDefault="00F16F9C" w:rsidP="00F16F9C">
          <w:pPr>
            <w:tabs>
              <w:tab w:val="right" w:pos="9360"/>
            </w:tabs>
            <w:ind w:left="-108" w:right="-108"/>
            <w:jc w:val="center"/>
            <w:rPr>
              <w:b/>
              <w:i/>
              <w:color w:val="595959"/>
              <w:sz w:val="16"/>
              <w:szCs w:val="16"/>
            </w:rPr>
          </w:pPr>
          <w:r w:rsidRPr="006F6213">
            <w:rPr>
              <w:b/>
              <w:i/>
              <w:color w:val="595959"/>
              <w:sz w:val="16"/>
              <w:szCs w:val="16"/>
            </w:rPr>
            <w:t>1515 K Street, Suite 200</w:t>
          </w:r>
        </w:p>
        <w:p w14:paraId="6290E7E9" w14:textId="77777777" w:rsidR="00F16F9C" w:rsidRPr="006F6213" w:rsidRDefault="00F16F9C" w:rsidP="00F16F9C">
          <w:pPr>
            <w:tabs>
              <w:tab w:val="right" w:pos="9360"/>
            </w:tabs>
            <w:ind w:left="-108" w:right="-108"/>
            <w:jc w:val="center"/>
            <w:rPr>
              <w:b/>
              <w:i/>
              <w:color w:val="595959"/>
              <w:sz w:val="16"/>
              <w:szCs w:val="16"/>
            </w:rPr>
          </w:pPr>
          <w:r w:rsidRPr="006F6213">
            <w:rPr>
              <w:b/>
              <w:i/>
              <w:color w:val="595959"/>
              <w:sz w:val="16"/>
              <w:szCs w:val="16"/>
            </w:rPr>
            <w:t>Sacramento, CA  95814-4052</w:t>
          </w:r>
        </w:p>
        <w:p w14:paraId="2259C093" w14:textId="6C1DC3A3" w:rsidR="00E06790" w:rsidRPr="006F6213" w:rsidRDefault="00F16F9C" w:rsidP="00F16F9C">
          <w:pPr>
            <w:tabs>
              <w:tab w:val="right" w:pos="9360"/>
            </w:tabs>
            <w:ind w:left="-108" w:right="-108"/>
            <w:jc w:val="center"/>
            <w:rPr>
              <w:b/>
              <w:i/>
              <w:color w:val="595959"/>
              <w:sz w:val="16"/>
              <w:szCs w:val="16"/>
            </w:rPr>
          </w:pPr>
          <w:r w:rsidRPr="006F6213">
            <w:rPr>
              <w:b/>
              <w:i/>
              <w:color w:val="595959"/>
              <w:sz w:val="16"/>
              <w:szCs w:val="16"/>
            </w:rPr>
            <w:t>(916) 445-7205</w:t>
          </w:r>
        </w:p>
      </w:tc>
      <w:tc>
        <w:tcPr>
          <w:tcW w:w="1666" w:type="pct"/>
          <w:tcBorders>
            <w:top w:val="thickThinLargeGap" w:sz="4" w:space="0" w:color="auto"/>
            <w:left w:val="nil"/>
            <w:bottom w:val="nil"/>
            <w:right w:val="nil"/>
          </w:tcBorders>
        </w:tcPr>
        <w:p w14:paraId="683D94CD" w14:textId="77777777" w:rsidR="00E06790" w:rsidRPr="006F6213" w:rsidRDefault="00E06790" w:rsidP="00DA4904">
          <w:pPr>
            <w:tabs>
              <w:tab w:val="right" w:pos="9360"/>
            </w:tabs>
            <w:ind w:left="-108" w:right="-108"/>
            <w:jc w:val="center"/>
            <w:rPr>
              <w:b/>
              <w:i/>
              <w:color w:val="595959"/>
              <w:sz w:val="16"/>
              <w:szCs w:val="16"/>
            </w:rPr>
          </w:pPr>
        </w:p>
        <w:p w14:paraId="2FF7D027" w14:textId="2926E71C" w:rsidR="00E06790" w:rsidRPr="006F6213" w:rsidRDefault="00E06790" w:rsidP="00DA4904">
          <w:pPr>
            <w:tabs>
              <w:tab w:val="right" w:pos="9360"/>
            </w:tabs>
            <w:ind w:left="-108" w:right="-108"/>
            <w:jc w:val="center"/>
            <w:rPr>
              <w:b/>
              <w:i/>
              <w:color w:val="595959"/>
              <w:sz w:val="16"/>
              <w:szCs w:val="16"/>
            </w:rPr>
          </w:pPr>
        </w:p>
      </w:tc>
    </w:tr>
    <w:tr w:rsidR="00DA4904" w:rsidRPr="006F6213" w14:paraId="1D80A197" w14:textId="77777777" w:rsidTr="006F6213">
      <w:trPr>
        <w:trHeight w:val="52"/>
      </w:trPr>
      <w:tc>
        <w:tcPr>
          <w:tcW w:w="1667" w:type="pct"/>
          <w:tcBorders>
            <w:top w:val="nil"/>
            <w:left w:val="nil"/>
            <w:bottom w:val="nil"/>
            <w:right w:val="nil"/>
          </w:tcBorders>
        </w:tcPr>
        <w:p w14:paraId="412A79FA" w14:textId="77777777" w:rsidR="00E06790" w:rsidRPr="006F6213" w:rsidRDefault="00E06790" w:rsidP="00F16F9C">
          <w:pPr>
            <w:tabs>
              <w:tab w:val="right" w:pos="9360"/>
            </w:tabs>
            <w:ind w:right="-149"/>
            <w:jc w:val="center"/>
            <w:rPr>
              <w:b/>
              <w:i/>
              <w:color w:val="595959"/>
              <w:sz w:val="16"/>
              <w:szCs w:val="16"/>
            </w:rPr>
          </w:pPr>
        </w:p>
      </w:tc>
      <w:tc>
        <w:tcPr>
          <w:tcW w:w="1667" w:type="pct"/>
          <w:tcBorders>
            <w:top w:val="nil"/>
            <w:left w:val="nil"/>
            <w:bottom w:val="nil"/>
            <w:right w:val="nil"/>
          </w:tcBorders>
        </w:tcPr>
        <w:p w14:paraId="133DB907" w14:textId="77777777" w:rsidR="006F6213" w:rsidRPr="006F6213" w:rsidRDefault="006F6213" w:rsidP="00DA4904">
          <w:pPr>
            <w:tabs>
              <w:tab w:val="right" w:pos="9360"/>
            </w:tabs>
            <w:ind w:left="-108" w:right="-108"/>
            <w:jc w:val="center"/>
            <w:rPr>
              <w:b/>
              <w:i/>
              <w:color w:val="595959"/>
              <w:sz w:val="16"/>
              <w:szCs w:val="16"/>
            </w:rPr>
          </w:pPr>
        </w:p>
        <w:p w14:paraId="41F00847" w14:textId="77777777" w:rsidR="006F6213" w:rsidRPr="006F6213" w:rsidRDefault="00AB253F" w:rsidP="006F6213">
          <w:pPr>
            <w:pStyle w:val="Header"/>
            <w:tabs>
              <w:tab w:val="clear" w:pos="4320"/>
              <w:tab w:val="clear" w:pos="8640"/>
              <w:tab w:val="right" w:pos="9000"/>
            </w:tabs>
            <w:adjustRightInd w:val="0"/>
            <w:jc w:val="center"/>
            <w:rPr>
              <w:b/>
              <w:sz w:val="16"/>
              <w:szCs w:val="16"/>
            </w:rPr>
          </w:pPr>
          <w:hyperlink r:id="rId1" w:history="1">
            <w:r w:rsidR="006F6213" w:rsidRPr="006F6213">
              <w:rPr>
                <w:rStyle w:val="Hyperlink"/>
                <w:b/>
                <w:sz w:val="16"/>
                <w:szCs w:val="16"/>
              </w:rPr>
              <w:t>www.dbo.ca.gov</w:t>
            </w:r>
          </w:hyperlink>
          <w:r w:rsidR="006F6213" w:rsidRPr="006F6213">
            <w:rPr>
              <w:b/>
              <w:sz w:val="16"/>
              <w:szCs w:val="16"/>
            </w:rPr>
            <w:t xml:space="preserve"> </w:t>
          </w:r>
          <w:r w:rsidR="006F6213" w:rsidRPr="006F6213">
            <w:rPr>
              <w:b/>
              <w:sz w:val="16"/>
              <w:szCs w:val="16"/>
            </w:rPr>
            <w:sym w:font="Wingdings" w:char="F073"/>
          </w:r>
          <w:r w:rsidR="006F6213" w:rsidRPr="006F6213">
            <w:rPr>
              <w:b/>
              <w:sz w:val="16"/>
              <w:szCs w:val="16"/>
            </w:rPr>
            <w:t xml:space="preserve"> </w:t>
          </w:r>
          <w:r w:rsidR="006F6213" w:rsidRPr="006F6213">
            <w:rPr>
              <w:rStyle w:val="baec5a81-e4d6-4674-97f3-e9220f0136c1"/>
              <w:b/>
              <w:sz w:val="16"/>
              <w:szCs w:val="16"/>
              <w:lang w:val="en"/>
            </w:rPr>
            <w:t>1-866-275-2677</w:t>
          </w:r>
        </w:p>
        <w:p w14:paraId="307A5141" w14:textId="77777777" w:rsidR="00E06790" w:rsidRPr="006F6213" w:rsidRDefault="00E06790" w:rsidP="00DA4904">
          <w:pPr>
            <w:tabs>
              <w:tab w:val="right" w:pos="9360"/>
            </w:tabs>
            <w:jc w:val="center"/>
            <w:rPr>
              <w:b/>
              <w:i/>
              <w:color w:val="595959"/>
              <w:sz w:val="16"/>
              <w:szCs w:val="16"/>
            </w:rPr>
          </w:pPr>
        </w:p>
      </w:tc>
      <w:tc>
        <w:tcPr>
          <w:tcW w:w="1666" w:type="pct"/>
          <w:tcBorders>
            <w:top w:val="nil"/>
            <w:left w:val="nil"/>
            <w:bottom w:val="nil"/>
            <w:right w:val="nil"/>
          </w:tcBorders>
          <w:hideMark/>
        </w:tcPr>
        <w:p w14:paraId="4368909D" w14:textId="7B379028" w:rsidR="00E06790" w:rsidRPr="006F6213" w:rsidRDefault="00E06790" w:rsidP="00DA4904">
          <w:pPr>
            <w:tabs>
              <w:tab w:val="right" w:pos="9360"/>
            </w:tabs>
            <w:jc w:val="center"/>
            <w:rPr>
              <w:b/>
              <w:i/>
              <w:color w:val="595959"/>
              <w:sz w:val="16"/>
              <w:szCs w:val="16"/>
            </w:rPr>
          </w:pPr>
        </w:p>
      </w:tc>
    </w:tr>
    <w:tr w:rsidR="00E06790" w:rsidRPr="006F6213" w14:paraId="79786B0D" w14:textId="77777777" w:rsidTr="006F6213">
      <w:trPr>
        <w:trHeight w:val="195"/>
      </w:trPr>
      <w:tc>
        <w:tcPr>
          <w:tcW w:w="5000" w:type="pct"/>
          <w:gridSpan w:val="3"/>
          <w:tcBorders>
            <w:top w:val="nil"/>
            <w:left w:val="nil"/>
            <w:bottom w:val="nil"/>
            <w:right w:val="nil"/>
          </w:tcBorders>
        </w:tcPr>
        <w:p w14:paraId="6AC3ED6D" w14:textId="77777777" w:rsidR="00E06790" w:rsidRPr="006F6213" w:rsidRDefault="00E06790" w:rsidP="006F6213">
          <w:pPr>
            <w:pStyle w:val="Header"/>
            <w:tabs>
              <w:tab w:val="clear" w:pos="4320"/>
              <w:tab w:val="clear" w:pos="8640"/>
              <w:tab w:val="right" w:pos="9000"/>
            </w:tabs>
            <w:adjustRightInd w:val="0"/>
            <w:jc w:val="center"/>
            <w:rPr>
              <w:b/>
              <w:i/>
              <w:sz w:val="16"/>
              <w:szCs w:val="16"/>
            </w:rPr>
          </w:pPr>
        </w:p>
      </w:tc>
    </w:tr>
    <w:bookmarkEnd w:id="1"/>
  </w:tbl>
  <w:p w14:paraId="1BAFC69D" w14:textId="77777777" w:rsidR="00B05FA5" w:rsidRPr="00342D9E" w:rsidRDefault="00B05FA5" w:rsidP="00AE6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125" w14:textId="77777777" w:rsidR="0050259D" w:rsidRDefault="0050259D" w:rsidP="0050259D">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EEE97" w14:textId="77777777" w:rsidR="00AB253F" w:rsidRDefault="00AB253F">
      <w:r>
        <w:separator/>
      </w:r>
    </w:p>
  </w:footnote>
  <w:footnote w:type="continuationSeparator" w:id="0">
    <w:p w14:paraId="06F79134" w14:textId="77777777" w:rsidR="00AB253F" w:rsidRDefault="00AB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51A2" w14:textId="77777777" w:rsidR="00E20E79" w:rsidRPr="002B6337" w:rsidRDefault="002B6337" w:rsidP="002B6337">
    <w:pPr>
      <w:pStyle w:val="Header"/>
      <w:rPr>
        <w:rFonts w:ascii="Arial" w:hAnsi="Arial" w:cs="Arial"/>
        <w:szCs w:val="18"/>
      </w:rPr>
    </w:pPr>
    <w:r w:rsidRPr="002B6337">
      <w:rPr>
        <w:rFonts w:ascii="Arial" w:hAnsi="Arial" w:cs="Arial"/>
        <w:szCs w:val="18"/>
      </w:rPr>
      <w:t>Name</w:t>
    </w:r>
  </w:p>
  <w:p w14:paraId="2A32A478" w14:textId="77777777" w:rsidR="002B6337" w:rsidRDefault="002B6337" w:rsidP="002B6337">
    <w:pPr>
      <w:pStyle w:val="Header"/>
      <w:rPr>
        <w:rStyle w:val="PageNumber"/>
        <w:rFonts w:ascii="Arial" w:hAnsi="Arial" w:cs="Arial"/>
      </w:rPr>
    </w:pPr>
    <w:r w:rsidRPr="002B6337">
      <w:rPr>
        <w:rFonts w:ascii="Arial" w:hAnsi="Arial" w:cs="Arial"/>
        <w:szCs w:val="18"/>
      </w:rPr>
      <w:t xml:space="preserve">Page </w:t>
    </w:r>
    <w:r w:rsidR="00DA5F00" w:rsidRPr="006314C5">
      <w:rPr>
        <w:rStyle w:val="PageNumber"/>
        <w:rFonts w:ascii="Arial" w:hAnsi="Arial" w:cs="Arial"/>
      </w:rPr>
      <w:fldChar w:fldCharType="begin"/>
    </w:r>
    <w:r w:rsidR="006314C5" w:rsidRPr="006314C5">
      <w:rPr>
        <w:rStyle w:val="PageNumber"/>
        <w:rFonts w:ascii="Arial" w:hAnsi="Arial" w:cs="Arial"/>
      </w:rPr>
      <w:instrText xml:space="preserve"> PAGE </w:instrText>
    </w:r>
    <w:r w:rsidR="00DA5F00" w:rsidRPr="006314C5">
      <w:rPr>
        <w:rStyle w:val="PageNumber"/>
        <w:rFonts w:ascii="Arial" w:hAnsi="Arial" w:cs="Arial"/>
      </w:rPr>
      <w:fldChar w:fldCharType="separate"/>
    </w:r>
    <w:r w:rsidR="00C5516A">
      <w:rPr>
        <w:rStyle w:val="PageNumber"/>
        <w:rFonts w:ascii="Arial" w:hAnsi="Arial" w:cs="Arial"/>
        <w:noProof/>
      </w:rPr>
      <w:t>2</w:t>
    </w:r>
    <w:r w:rsidR="00DA5F00" w:rsidRPr="006314C5">
      <w:rPr>
        <w:rStyle w:val="PageNumber"/>
        <w:rFonts w:ascii="Arial" w:hAnsi="Arial" w:cs="Arial"/>
      </w:rPr>
      <w:fldChar w:fldCharType="end"/>
    </w:r>
  </w:p>
  <w:p w14:paraId="73DC69A8" w14:textId="77777777" w:rsidR="00C075D2" w:rsidRDefault="00C075D2" w:rsidP="002B6337">
    <w:pPr>
      <w:pStyle w:val="Header"/>
      <w:rPr>
        <w:rStyle w:val="PageNumber"/>
        <w:rFonts w:ascii="Arial" w:hAnsi="Arial" w:cs="Arial"/>
      </w:rPr>
    </w:pPr>
    <w:r>
      <w:rPr>
        <w:rStyle w:val="PageNumber"/>
        <w:rFonts w:ascii="Arial" w:hAnsi="Arial" w:cs="Arial"/>
      </w:rPr>
      <w:t>Date</w:t>
    </w:r>
  </w:p>
  <w:p w14:paraId="69CE389B" w14:textId="77777777" w:rsidR="009815DD" w:rsidRDefault="009815DD" w:rsidP="002B6337">
    <w:pPr>
      <w:pStyle w:val="Header"/>
      <w:rPr>
        <w:rStyle w:val="PageNumber"/>
        <w:rFonts w:ascii="Arial" w:hAnsi="Arial" w:cs="Arial"/>
      </w:rPr>
    </w:pPr>
  </w:p>
  <w:p w14:paraId="275E85C6" w14:textId="77777777" w:rsidR="009815DD" w:rsidRPr="002B6337" w:rsidRDefault="009815DD" w:rsidP="002B6337">
    <w:pPr>
      <w:pStyle w:val="Header"/>
      <w:rPr>
        <w:rFonts w:ascii="Arial" w:hAnsi="Arial" w:cs="Arial"/>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FB51" w14:textId="77777777" w:rsidR="002B6337" w:rsidRPr="00342D9E" w:rsidRDefault="002B6337" w:rsidP="00921455">
    <w:pPr>
      <w:pBdr>
        <w:bottom w:val="thinThickLargeGap" w:sz="4" w:space="1" w:color="auto"/>
      </w:pBdr>
      <w:tabs>
        <w:tab w:val="right" w:pos="10800"/>
      </w:tabs>
      <w:adjustRightInd w:val="0"/>
      <w:rPr>
        <w:sz w:val="14"/>
      </w:rPr>
    </w:pPr>
    <w:r w:rsidRPr="00342D9E">
      <w:rPr>
        <w:sz w:val="14"/>
      </w:rPr>
      <w:t xml:space="preserve">STATE OF CALIFORNIA </w:t>
    </w:r>
    <w:r w:rsidR="00C97745" w:rsidRPr="00342D9E">
      <w:rPr>
        <w:sz w:val="14"/>
      </w:rPr>
      <w:t>– BUSINESS, CONSUMER SERVICES AND HOUSING AGENCY</w:t>
    </w:r>
    <w:r w:rsidRPr="00342D9E">
      <w:rPr>
        <w:sz w:val="14"/>
      </w:rPr>
      <w:tab/>
    </w:r>
    <w:r w:rsidR="001F2A80" w:rsidRPr="00342D9E">
      <w:rPr>
        <w:sz w:val="14"/>
      </w:rPr>
      <w:t>EDMUND G. BROWN JR.</w:t>
    </w:r>
    <w:r w:rsidRPr="00342D9E">
      <w:rPr>
        <w:sz w:val="14"/>
      </w:rPr>
      <w:t>, Governor</w:t>
    </w:r>
  </w:p>
  <w:p w14:paraId="32C82DC4" w14:textId="77777777" w:rsidR="005D676C" w:rsidRPr="00342D9E" w:rsidRDefault="00EF30A3" w:rsidP="00EF30A3">
    <w:pPr>
      <w:tabs>
        <w:tab w:val="right" w:pos="10800"/>
      </w:tabs>
      <w:adjustRightInd w:val="0"/>
      <w:rPr>
        <w:b/>
        <w:sz w:val="26"/>
        <w:szCs w:val="26"/>
      </w:rPr>
    </w:pPr>
    <w:bookmarkStart w:id="0" w:name="_GoBack"/>
    <w:r w:rsidRPr="00342D9E">
      <w:rPr>
        <w:noProof/>
        <w:color w:val="505050"/>
        <w:sz w:val="16"/>
        <w:szCs w:val="16"/>
      </w:rPr>
      <w:drawing>
        <wp:anchor distT="0" distB="0" distL="114300" distR="114300" simplePos="0" relativeHeight="251658752" behindDoc="0" locked="0" layoutInCell="0" allowOverlap="1" wp14:anchorId="12B04E50" wp14:editId="2A647D9C">
          <wp:simplePos x="0" y="0"/>
          <wp:positionH relativeFrom="column">
            <wp:posOffset>6063615</wp:posOffset>
          </wp:positionH>
          <wp:positionV relativeFrom="paragraph">
            <wp:posOffset>1270</wp:posOffset>
          </wp:positionV>
          <wp:extent cx="816610" cy="838200"/>
          <wp:effectExtent l="0" t="0" r="254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3999"/>
                  <a:stretch>
                    <a:fillRect/>
                  </a:stretch>
                </pic:blipFill>
                <pic:spPr bwMode="auto">
                  <a:xfrm>
                    <a:off x="0" y="0"/>
                    <a:ext cx="816610"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B6337" w:rsidRPr="00342D9E">
      <w:rPr>
        <w:b/>
        <w:sz w:val="26"/>
        <w:szCs w:val="26"/>
      </w:rPr>
      <w:t xml:space="preserve">DEPARTMENT OF </w:t>
    </w:r>
    <w:r w:rsidR="00C97745" w:rsidRPr="00342D9E">
      <w:rPr>
        <w:b/>
        <w:sz w:val="26"/>
        <w:szCs w:val="26"/>
      </w:rPr>
      <w:t>BUSINESS OVERSIGHT</w:t>
    </w:r>
  </w:p>
  <w:p w14:paraId="44907BCA" w14:textId="77777777" w:rsidR="00C97745" w:rsidRPr="00342D9E" w:rsidRDefault="001D4DF5" w:rsidP="00342D9E">
    <w:pPr>
      <w:pStyle w:val="NormalWeb"/>
      <w:ind w:left="0"/>
      <w:rPr>
        <w:rFonts w:eastAsia="Times New Roman"/>
        <w:b/>
        <w:i/>
        <w:iCs/>
        <w:color w:val="000000"/>
        <w:sz w:val="18"/>
        <w:szCs w:val="23"/>
      </w:rPr>
    </w:pPr>
    <w:r w:rsidRPr="00342D9E">
      <w:rPr>
        <w:rFonts w:eastAsia="Times New Roman"/>
        <w:b/>
        <w:i/>
        <w:iCs/>
        <w:color w:val="000000"/>
        <w:sz w:val="18"/>
        <w:szCs w:val="23"/>
      </w:rPr>
      <w:t xml:space="preserve">Ensuring a </w:t>
    </w:r>
    <w:r w:rsidR="009D22FE" w:rsidRPr="00342D9E">
      <w:rPr>
        <w:rFonts w:eastAsia="Times New Roman"/>
        <w:b/>
        <w:i/>
        <w:iCs/>
        <w:color w:val="000000"/>
        <w:sz w:val="18"/>
        <w:szCs w:val="23"/>
      </w:rPr>
      <w:t>F</w:t>
    </w:r>
    <w:r w:rsidRPr="00342D9E">
      <w:rPr>
        <w:rFonts w:eastAsia="Times New Roman"/>
        <w:b/>
        <w:i/>
        <w:iCs/>
        <w:color w:val="000000"/>
        <w:sz w:val="18"/>
        <w:szCs w:val="23"/>
      </w:rPr>
      <w:t xml:space="preserve">air and </w:t>
    </w:r>
    <w:r w:rsidR="009D22FE" w:rsidRPr="00342D9E">
      <w:rPr>
        <w:rFonts w:eastAsia="Times New Roman"/>
        <w:b/>
        <w:i/>
        <w:iCs/>
        <w:color w:val="000000"/>
        <w:sz w:val="18"/>
        <w:szCs w:val="23"/>
      </w:rPr>
      <w:t>S</w:t>
    </w:r>
    <w:r w:rsidRPr="00342D9E">
      <w:rPr>
        <w:rFonts w:eastAsia="Times New Roman"/>
        <w:b/>
        <w:i/>
        <w:iCs/>
        <w:color w:val="000000"/>
        <w:sz w:val="18"/>
        <w:szCs w:val="23"/>
      </w:rPr>
      <w:t xml:space="preserve">ecure </w:t>
    </w:r>
    <w:r w:rsidR="009D22FE" w:rsidRPr="00342D9E">
      <w:rPr>
        <w:rFonts w:eastAsia="Times New Roman"/>
        <w:b/>
        <w:i/>
        <w:iCs/>
        <w:color w:val="000000"/>
        <w:sz w:val="18"/>
        <w:szCs w:val="23"/>
      </w:rPr>
      <w:t>F</w:t>
    </w:r>
    <w:r w:rsidRPr="00342D9E">
      <w:rPr>
        <w:rFonts w:eastAsia="Times New Roman"/>
        <w:b/>
        <w:i/>
        <w:iCs/>
        <w:color w:val="000000"/>
        <w:sz w:val="18"/>
        <w:szCs w:val="23"/>
      </w:rPr>
      <w:t xml:space="preserve">inancial </w:t>
    </w:r>
    <w:r w:rsidR="009D22FE" w:rsidRPr="00342D9E">
      <w:rPr>
        <w:rFonts w:eastAsia="Times New Roman"/>
        <w:b/>
        <w:i/>
        <w:iCs/>
        <w:color w:val="000000"/>
        <w:sz w:val="18"/>
        <w:szCs w:val="23"/>
      </w:rPr>
      <w:t>S</w:t>
    </w:r>
    <w:r w:rsidRPr="00342D9E">
      <w:rPr>
        <w:rFonts w:eastAsia="Times New Roman"/>
        <w:b/>
        <w:i/>
        <w:iCs/>
        <w:color w:val="000000"/>
        <w:sz w:val="18"/>
        <w:szCs w:val="23"/>
      </w:rPr>
      <w:t xml:space="preserve">ervices </w:t>
    </w:r>
    <w:r w:rsidR="009D22FE" w:rsidRPr="00342D9E">
      <w:rPr>
        <w:rFonts w:eastAsia="Times New Roman"/>
        <w:b/>
        <w:i/>
        <w:iCs/>
        <w:color w:val="000000"/>
        <w:sz w:val="18"/>
        <w:szCs w:val="23"/>
      </w:rPr>
      <w:t>M</w:t>
    </w:r>
    <w:r w:rsidRPr="00342D9E">
      <w:rPr>
        <w:rFonts w:eastAsia="Times New Roman"/>
        <w:b/>
        <w:i/>
        <w:iCs/>
        <w:color w:val="000000"/>
        <w:sz w:val="18"/>
        <w:szCs w:val="23"/>
      </w:rPr>
      <w:t>arketplace for all Californians</w:t>
    </w:r>
  </w:p>
  <w:p w14:paraId="2EA0A198" w14:textId="77777777" w:rsidR="00E06790" w:rsidRPr="001D4DF5" w:rsidRDefault="00E06790" w:rsidP="001D4DF5">
    <w:pPr>
      <w:pStyle w:val="NormalWeb"/>
      <w:rPr>
        <w:rFonts w:asciiTheme="majorHAnsi" w:hAnsiTheme="majorHAnsi" w:cs="Arial"/>
        <w:b/>
        <w:i/>
        <w:color w:val="505050"/>
        <w:sz w:val="10"/>
        <w:szCs w:val="16"/>
        <w:lang w:val="e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E378" w14:textId="77777777" w:rsidR="00C5516A" w:rsidRPr="00CB24F0" w:rsidRDefault="00CB24F0" w:rsidP="00AB6793">
    <w:pPr>
      <w:pStyle w:val="Header"/>
      <w:rPr>
        <w:sz w:val="20"/>
        <w:szCs w:val="18"/>
      </w:rPr>
    </w:pPr>
    <w:r>
      <w:rPr>
        <w:sz w:val="20"/>
        <w:szCs w:val="18"/>
      </w:rPr>
      <w:t>Department of Business Oversight</w:t>
    </w:r>
  </w:p>
  <w:p w14:paraId="6CF12E9C" w14:textId="77777777" w:rsidR="009C63EA" w:rsidRPr="00CB24F0" w:rsidRDefault="009C63EA" w:rsidP="00AB6793">
    <w:pPr>
      <w:pStyle w:val="Header"/>
      <w:rPr>
        <w:rStyle w:val="PageNumber"/>
        <w:sz w:val="20"/>
      </w:rPr>
    </w:pPr>
    <w:r w:rsidRPr="00CB24F0">
      <w:rPr>
        <w:sz w:val="20"/>
        <w:szCs w:val="18"/>
      </w:rPr>
      <w:t xml:space="preserve">Page </w:t>
    </w:r>
    <w:r w:rsidR="00DA5F00" w:rsidRPr="00CB24F0">
      <w:rPr>
        <w:rStyle w:val="PageNumber"/>
        <w:sz w:val="20"/>
      </w:rPr>
      <w:fldChar w:fldCharType="begin"/>
    </w:r>
    <w:r w:rsidRPr="00CB24F0">
      <w:rPr>
        <w:rStyle w:val="PageNumber"/>
        <w:sz w:val="20"/>
      </w:rPr>
      <w:instrText xml:space="preserve"> PAGE </w:instrText>
    </w:r>
    <w:r w:rsidR="00DA5F00" w:rsidRPr="00CB24F0">
      <w:rPr>
        <w:rStyle w:val="PageNumber"/>
        <w:sz w:val="20"/>
      </w:rPr>
      <w:fldChar w:fldCharType="separate"/>
    </w:r>
    <w:r w:rsidR="006F6213">
      <w:rPr>
        <w:rStyle w:val="PageNumber"/>
        <w:noProof/>
        <w:sz w:val="20"/>
      </w:rPr>
      <w:t>2</w:t>
    </w:r>
    <w:r w:rsidR="00DA5F00" w:rsidRPr="00CB24F0">
      <w:rPr>
        <w:rStyle w:val="PageNumber"/>
        <w:sz w:val="20"/>
      </w:rPr>
      <w:fldChar w:fldCharType="end"/>
    </w:r>
  </w:p>
  <w:p w14:paraId="7B960377" w14:textId="3B1BE8AB" w:rsidR="001D7161" w:rsidRPr="00CB24F0" w:rsidRDefault="001D7161" w:rsidP="00AB6793">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CC"/>
    <w:rsid w:val="00057881"/>
    <w:rsid w:val="0006360F"/>
    <w:rsid w:val="00073910"/>
    <w:rsid w:val="000804F0"/>
    <w:rsid w:val="00092E8F"/>
    <w:rsid w:val="000C11A9"/>
    <w:rsid w:val="000C26D6"/>
    <w:rsid w:val="000C2C43"/>
    <w:rsid w:val="000D5776"/>
    <w:rsid w:val="000E2809"/>
    <w:rsid w:val="0011715C"/>
    <w:rsid w:val="001249B7"/>
    <w:rsid w:val="00127D26"/>
    <w:rsid w:val="00127FE7"/>
    <w:rsid w:val="001448C9"/>
    <w:rsid w:val="00152865"/>
    <w:rsid w:val="00172C98"/>
    <w:rsid w:val="001800BF"/>
    <w:rsid w:val="00191829"/>
    <w:rsid w:val="001B3A61"/>
    <w:rsid w:val="001D4DF5"/>
    <w:rsid w:val="001D7161"/>
    <w:rsid w:val="001E373F"/>
    <w:rsid w:val="001F2A80"/>
    <w:rsid w:val="002265ED"/>
    <w:rsid w:val="00230A1A"/>
    <w:rsid w:val="00233B5D"/>
    <w:rsid w:val="00281193"/>
    <w:rsid w:val="002927E8"/>
    <w:rsid w:val="002A42C5"/>
    <w:rsid w:val="002B6337"/>
    <w:rsid w:val="002D4A71"/>
    <w:rsid w:val="002F78EE"/>
    <w:rsid w:val="003106DA"/>
    <w:rsid w:val="0032571C"/>
    <w:rsid w:val="00342D9E"/>
    <w:rsid w:val="003453C5"/>
    <w:rsid w:val="00361DDD"/>
    <w:rsid w:val="0036274B"/>
    <w:rsid w:val="00365FD1"/>
    <w:rsid w:val="00371EAC"/>
    <w:rsid w:val="003737C4"/>
    <w:rsid w:val="003C160D"/>
    <w:rsid w:val="003E3C71"/>
    <w:rsid w:val="0042448A"/>
    <w:rsid w:val="004738C2"/>
    <w:rsid w:val="00483E90"/>
    <w:rsid w:val="00486FE8"/>
    <w:rsid w:val="004C173E"/>
    <w:rsid w:val="004C33AB"/>
    <w:rsid w:val="004E0DB1"/>
    <w:rsid w:val="004E7A9B"/>
    <w:rsid w:val="004F0723"/>
    <w:rsid w:val="0050259D"/>
    <w:rsid w:val="00502E16"/>
    <w:rsid w:val="0053047D"/>
    <w:rsid w:val="005648CB"/>
    <w:rsid w:val="00577900"/>
    <w:rsid w:val="0058492F"/>
    <w:rsid w:val="005A72E4"/>
    <w:rsid w:val="005B09DF"/>
    <w:rsid w:val="005D455C"/>
    <w:rsid w:val="005D676C"/>
    <w:rsid w:val="005E3BF2"/>
    <w:rsid w:val="00606DD6"/>
    <w:rsid w:val="006314C5"/>
    <w:rsid w:val="00645F1B"/>
    <w:rsid w:val="00666740"/>
    <w:rsid w:val="00684355"/>
    <w:rsid w:val="006918EB"/>
    <w:rsid w:val="006C1F25"/>
    <w:rsid w:val="006C7818"/>
    <w:rsid w:val="006C7B61"/>
    <w:rsid w:val="006D02A9"/>
    <w:rsid w:val="006D1B04"/>
    <w:rsid w:val="006F06D0"/>
    <w:rsid w:val="006F3BCF"/>
    <w:rsid w:val="006F6213"/>
    <w:rsid w:val="00700BE4"/>
    <w:rsid w:val="00703EBC"/>
    <w:rsid w:val="0073059F"/>
    <w:rsid w:val="00735C6B"/>
    <w:rsid w:val="00743A15"/>
    <w:rsid w:val="00743A8F"/>
    <w:rsid w:val="00795D9A"/>
    <w:rsid w:val="007A5669"/>
    <w:rsid w:val="007B7EC2"/>
    <w:rsid w:val="007C65BB"/>
    <w:rsid w:val="007D33E6"/>
    <w:rsid w:val="00822FCC"/>
    <w:rsid w:val="00880EEF"/>
    <w:rsid w:val="0088349F"/>
    <w:rsid w:val="00884C89"/>
    <w:rsid w:val="00896666"/>
    <w:rsid w:val="008A373F"/>
    <w:rsid w:val="008A5C38"/>
    <w:rsid w:val="008B443D"/>
    <w:rsid w:val="008B45B7"/>
    <w:rsid w:val="008C7664"/>
    <w:rsid w:val="0090566A"/>
    <w:rsid w:val="00911241"/>
    <w:rsid w:val="00921455"/>
    <w:rsid w:val="00923FFD"/>
    <w:rsid w:val="009676EA"/>
    <w:rsid w:val="009815DD"/>
    <w:rsid w:val="009A3F5E"/>
    <w:rsid w:val="009B2D38"/>
    <w:rsid w:val="009C63EA"/>
    <w:rsid w:val="009C7DF3"/>
    <w:rsid w:val="009D22FE"/>
    <w:rsid w:val="00A35E02"/>
    <w:rsid w:val="00A66BD2"/>
    <w:rsid w:val="00A85219"/>
    <w:rsid w:val="00AB253F"/>
    <w:rsid w:val="00AB6793"/>
    <w:rsid w:val="00AD0C3E"/>
    <w:rsid w:val="00AD2A2E"/>
    <w:rsid w:val="00AD4998"/>
    <w:rsid w:val="00AE6B53"/>
    <w:rsid w:val="00B022A3"/>
    <w:rsid w:val="00B05FA5"/>
    <w:rsid w:val="00B066CE"/>
    <w:rsid w:val="00B200F8"/>
    <w:rsid w:val="00B22515"/>
    <w:rsid w:val="00B40D29"/>
    <w:rsid w:val="00B443DE"/>
    <w:rsid w:val="00B45FC7"/>
    <w:rsid w:val="00B70A0D"/>
    <w:rsid w:val="00B75E7B"/>
    <w:rsid w:val="00BA705B"/>
    <w:rsid w:val="00BC729D"/>
    <w:rsid w:val="00BE0954"/>
    <w:rsid w:val="00C075D2"/>
    <w:rsid w:val="00C3227F"/>
    <w:rsid w:val="00C33DD0"/>
    <w:rsid w:val="00C41874"/>
    <w:rsid w:val="00C53795"/>
    <w:rsid w:val="00C5516A"/>
    <w:rsid w:val="00C56547"/>
    <w:rsid w:val="00C57D64"/>
    <w:rsid w:val="00C97745"/>
    <w:rsid w:val="00CA6F62"/>
    <w:rsid w:val="00CB24F0"/>
    <w:rsid w:val="00CC3105"/>
    <w:rsid w:val="00CE1770"/>
    <w:rsid w:val="00CE591C"/>
    <w:rsid w:val="00CF4574"/>
    <w:rsid w:val="00D15A35"/>
    <w:rsid w:val="00D32243"/>
    <w:rsid w:val="00D40BFF"/>
    <w:rsid w:val="00D6356C"/>
    <w:rsid w:val="00D869EA"/>
    <w:rsid w:val="00D943E5"/>
    <w:rsid w:val="00D96F58"/>
    <w:rsid w:val="00DA4904"/>
    <w:rsid w:val="00DA5F00"/>
    <w:rsid w:val="00DB4AE2"/>
    <w:rsid w:val="00DF6BDA"/>
    <w:rsid w:val="00E006F7"/>
    <w:rsid w:val="00E0244A"/>
    <w:rsid w:val="00E06790"/>
    <w:rsid w:val="00E07500"/>
    <w:rsid w:val="00E20E79"/>
    <w:rsid w:val="00E37F7E"/>
    <w:rsid w:val="00E62897"/>
    <w:rsid w:val="00E87C59"/>
    <w:rsid w:val="00E962D6"/>
    <w:rsid w:val="00EA5594"/>
    <w:rsid w:val="00EA5D5D"/>
    <w:rsid w:val="00EC1E80"/>
    <w:rsid w:val="00EC7D9B"/>
    <w:rsid w:val="00EF11F8"/>
    <w:rsid w:val="00EF30A3"/>
    <w:rsid w:val="00F05EA5"/>
    <w:rsid w:val="00F16F9C"/>
    <w:rsid w:val="00F21E0B"/>
    <w:rsid w:val="00F33286"/>
    <w:rsid w:val="00F5775B"/>
    <w:rsid w:val="00F62F9E"/>
    <w:rsid w:val="00FA3885"/>
    <w:rsid w:val="00FA659B"/>
    <w:rsid w:val="00FA70F9"/>
    <w:rsid w:val="00FB23CF"/>
    <w:rsid w:val="00FF72D5"/>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07C08"/>
  <w15:docId w15:val="{6B2C87EC-0BA4-4A44-95E5-13381FAB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45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48CB"/>
    <w:rPr>
      <w:rFonts w:ascii="Tahoma" w:hAnsi="Tahoma" w:cs="Tahoma"/>
      <w:sz w:val="16"/>
      <w:szCs w:val="16"/>
    </w:rPr>
  </w:style>
  <w:style w:type="paragraph" w:styleId="Header">
    <w:name w:val="header"/>
    <w:basedOn w:val="Normal"/>
    <w:link w:val="HeaderChar"/>
    <w:rsid w:val="00DF6BDA"/>
    <w:pPr>
      <w:widowControl w:val="0"/>
      <w:tabs>
        <w:tab w:val="center" w:pos="4320"/>
        <w:tab w:val="right" w:pos="8640"/>
      </w:tabs>
    </w:pPr>
  </w:style>
  <w:style w:type="paragraph" w:styleId="Footer">
    <w:name w:val="footer"/>
    <w:basedOn w:val="Normal"/>
    <w:rsid w:val="00DF6BDA"/>
    <w:pPr>
      <w:widowControl w:val="0"/>
      <w:tabs>
        <w:tab w:val="center" w:pos="4320"/>
        <w:tab w:val="right" w:pos="8640"/>
      </w:tabs>
    </w:pPr>
  </w:style>
  <w:style w:type="character" w:styleId="Hyperlink">
    <w:name w:val="Hyperlink"/>
    <w:basedOn w:val="DefaultParagraphFont"/>
    <w:rsid w:val="00B75E7B"/>
    <w:rPr>
      <w:color w:val="0000FF"/>
      <w:u w:val="single"/>
    </w:rPr>
  </w:style>
  <w:style w:type="character" w:styleId="PageNumber">
    <w:name w:val="page number"/>
    <w:basedOn w:val="DefaultParagraphFont"/>
    <w:rsid w:val="002B6337"/>
  </w:style>
  <w:style w:type="paragraph" w:styleId="NormalWeb">
    <w:name w:val="Normal (Web)"/>
    <w:basedOn w:val="Normal"/>
    <w:uiPriority w:val="99"/>
    <w:unhideWhenUsed/>
    <w:rsid w:val="00C97745"/>
    <w:pPr>
      <w:spacing w:after="120"/>
      <w:ind w:left="120"/>
    </w:pPr>
    <w:rPr>
      <w:rFonts w:eastAsia="Calibri"/>
      <w:szCs w:val="24"/>
    </w:rPr>
  </w:style>
  <w:style w:type="character" w:customStyle="1" w:styleId="baec5a81-e4d6-4674-97f3-e9220f0136c1">
    <w:name w:val="baec5a81-e4d6-4674-97f3-e9220f0136c1"/>
    <w:rsid w:val="00FF72D5"/>
  </w:style>
  <w:style w:type="paragraph" w:customStyle="1" w:styleId="DOCHeading3">
    <w:name w:val="DOC Heading3"/>
    <w:basedOn w:val="Normal"/>
    <w:rsid w:val="008B45B7"/>
    <w:rPr>
      <w:b/>
    </w:rPr>
  </w:style>
  <w:style w:type="paragraph" w:customStyle="1" w:styleId="DOCNormal1">
    <w:name w:val="DOC Normal1"/>
    <w:basedOn w:val="Normal"/>
    <w:rsid w:val="008B45B7"/>
    <w:pPr>
      <w:tabs>
        <w:tab w:val="left" w:pos="7200"/>
      </w:tabs>
    </w:pPr>
    <w:rPr>
      <w:sz w:val="16"/>
    </w:rPr>
  </w:style>
  <w:style w:type="character" w:customStyle="1" w:styleId="HeaderChar">
    <w:name w:val="Header Char"/>
    <w:link w:val="Header"/>
    <w:rsid w:val="00E06790"/>
    <w:rPr>
      <w:sz w:val="24"/>
    </w:rPr>
  </w:style>
  <w:style w:type="character" w:styleId="CommentReference">
    <w:name w:val="annotation reference"/>
    <w:basedOn w:val="DefaultParagraphFont"/>
    <w:uiPriority w:val="99"/>
    <w:semiHidden/>
    <w:unhideWhenUsed/>
    <w:rsid w:val="00822FCC"/>
    <w:rPr>
      <w:sz w:val="16"/>
      <w:szCs w:val="16"/>
    </w:rPr>
  </w:style>
  <w:style w:type="paragraph" w:styleId="CommentText">
    <w:name w:val="annotation text"/>
    <w:basedOn w:val="Normal"/>
    <w:link w:val="CommentTextChar"/>
    <w:uiPriority w:val="99"/>
    <w:semiHidden/>
    <w:unhideWhenUsed/>
    <w:rsid w:val="00822FCC"/>
    <w:rPr>
      <w:sz w:val="20"/>
    </w:rPr>
  </w:style>
  <w:style w:type="character" w:customStyle="1" w:styleId="CommentTextChar">
    <w:name w:val="Comment Text Char"/>
    <w:basedOn w:val="DefaultParagraphFont"/>
    <w:link w:val="CommentText"/>
    <w:uiPriority w:val="99"/>
    <w:semiHidden/>
    <w:rsid w:val="00822FCC"/>
  </w:style>
  <w:style w:type="character" w:styleId="UnresolvedMention">
    <w:name w:val="Unresolved Mention"/>
    <w:basedOn w:val="DefaultParagraphFont"/>
    <w:uiPriority w:val="99"/>
    <w:semiHidden/>
    <w:unhideWhenUsed/>
    <w:rsid w:val="00D6356C"/>
    <w:rPr>
      <w:color w:val="808080"/>
      <w:shd w:val="clear" w:color="auto" w:fill="E6E6E6"/>
    </w:rPr>
  </w:style>
  <w:style w:type="paragraph" w:styleId="ListParagraph">
    <w:name w:val="List Paragraph"/>
    <w:basedOn w:val="Normal"/>
    <w:uiPriority w:val="34"/>
    <w:qFormat/>
    <w:rsid w:val="00B0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2771">
      <w:bodyDiv w:val="1"/>
      <w:marLeft w:val="0"/>
      <w:marRight w:val="0"/>
      <w:marTop w:val="0"/>
      <w:marBottom w:val="0"/>
      <w:divBdr>
        <w:top w:val="none" w:sz="0" w:space="0" w:color="auto"/>
        <w:left w:val="none" w:sz="0" w:space="0" w:color="auto"/>
        <w:bottom w:val="none" w:sz="0" w:space="0" w:color="auto"/>
        <w:right w:val="none" w:sz="0" w:space="0" w:color="auto"/>
      </w:divBdr>
    </w:div>
    <w:div w:id="1282374038">
      <w:bodyDiv w:val="1"/>
      <w:marLeft w:val="0"/>
      <w:marRight w:val="0"/>
      <w:marTop w:val="0"/>
      <w:marBottom w:val="0"/>
      <w:divBdr>
        <w:top w:val="none" w:sz="0" w:space="0" w:color="auto"/>
        <w:left w:val="none" w:sz="0" w:space="0" w:color="auto"/>
        <w:bottom w:val="none" w:sz="0" w:space="0" w:color="auto"/>
        <w:right w:val="none" w:sz="0" w:space="0" w:color="auto"/>
      </w:divBdr>
    </w:div>
    <w:div w:id="18151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udentLoanServicing@dbo.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dbo.c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e\Documents\DBO%20Letterhead%207-1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5420F9CFE905469C7EFD640019CBE3" ma:contentTypeVersion="0" ma:contentTypeDescription="Create a new document." ma:contentTypeScope="" ma:versionID="3743f96d9d11ade46e3b00d16a9f3e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9E0B-C17D-484B-9E1F-59AB6BEA230A}">
  <ds:schemaRefs>
    <ds:schemaRef ds:uri="http://schemas.microsoft.com/sharepoint/v3/contenttype/forms"/>
  </ds:schemaRefs>
</ds:datastoreItem>
</file>

<file path=customXml/itemProps2.xml><?xml version="1.0" encoding="utf-8"?>
<ds:datastoreItem xmlns:ds="http://schemas.openxmlformats.org/officeDocument/2006/customXml" ds:itemID="{B91A885C-8A56-4783-B14F-AE938E0B38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E7C45B-F924-4B1D-A27B-249184CC7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4DCE10-3B35-4094-8797-93F63433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DBO Letterhead 7-10-2018</Template>
  <TotalTime>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Financial Institutions</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Melinda@DBO</dc:creator>
  <cp:lastModifiedBy>Nguyen, Kasen@DBO</cp:lastModifiedBy>
  <cp:revision>3</cp:revision>
  <cp:lastPrinted>2018-08-21T16:42:00Z</cp:lastPrinted>
  <dcterms:created xsi:type="dcterms:W3CDTF">2018-12-17T17:03:00Z</dcterms:created>
  <dcterms:modified xsi:type="dcterms:W3CDTF">2019-07-12T17:14:00Z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0x0101005B5420F9CFE905469C7EFD640019CBE3</vt:lpwstr>
  </property>
</Properties>
</file>